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49" w:rsidRPr="009E7E49" w:rsidRDefault="009E7E49" w:rsidP="009E7E49">
      <w:pPr>
        <w:shd w:val="clear" w:color="auto" w:fill="FFFFFF"/>
        <w:spacing w:before="15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8C2532"/>
          <w:sz w:val="25"/>
          <w:szCs w:val="25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color w:val="8C2532"/>
          <w:sz w:val="25"/>
          <w:szCs w:val="25"/>
          <w:lang w:val="en-US"/>
        </w:rPr>
        <w:t>Tantárgyadatlap</w:t>
      </w:r>
      <w:proofErr w:type="spellEnd"/>
      <w:r w:rsidRPr="009E7E49">
        <w:rPr>
          <w:rFonts w:ascii="Arial" w:eastAsia="Times New Roman" w:hAnsi="Arial" w:cs="Arial"/>
          <w:b/>
          <w:bCs/>
          <w:color w:val="8C2532"/>
          <w:sz w:val="25"/>
          <w:szCs w:val="25"/>
          <w:lang w:val="en-US"/>
        </w:rPr>
        <w:br/>
      </w:r>
      <w:proofErr w:type="spellStart"/>
      <w:r w:rsidRPr="009E7E49">
        <w:rPr>
          <w:rFonts w:ascii="Arial" w:eastAsia="Times New Roman" w:hAnsi="Arial" w:cs="Arial"/>
          <w:b/>
          <w:bCs/>
          <w:color w:val="8C2532"/>
          <w:sz w:val="25"/>
          <w:szCs w:val="25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b/>
          <w:bCs/>
          <w:color w:val="8C2532"/>
          <w:sz w:val="25"/>
          <w:szCs w:val="25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color w:val="8C2532"/>
          <w:sz w:val="25"/>
          <w:szCs w:val="25"/>
          <w:lang w:val="en-US"/>
        </w:rPr>
        <w:t>tantárgykövetelmények</w:t>
      </w:r>
      <w:proofErr w:type="spellEnd"/>
    </w:p>
    <w:p w:rsidR="009E7E49" w:rsidRPr="009E7E49" w:rsidRDefault="009E7E49" w:rsidP="009E7E49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color w:val="8C2532"/>
          <w:kern w:val="36"/>
          <w:sz w:val="31"/>
          <w:szCs w:val="31"/>
          <w:lang w:val="en-US"/>
        </w:rPr>
        <w:t>bioszenzorok</w:t>
      </w:r>
      <w:proofErr w:type="spellEnd"/>
    </w:p>
    <w:p w:rsidR="009E7E49" w:rsidRPr="009E7E49" w:rsidRDefault="009E7E49" w:rsidP="009E7E4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neve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angolul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: Chemical and Biosensors</w:t>
      </w:r>
    </w:p>
    <w:tbl>
      <w:tblPr>
        <w:tblW w:w="8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976"/>
        <w:gridCol w:w="2977"/>
      </w:tblGrid>
      <w:tr w:rsidR="009E7E49" w:rsidRPr="009E7E49" w:rsidTr="00DB7B22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E7E49" w:rsidRPr="009E7E49" w:rsidRDefault="009E7E49" w:rsidP="009E7E4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proofErr w:type="spellStart"/>
            <w:r w:rsidRPr="009E7E49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Tantárgy</w:t>
            </w:r>
            <w:proofErr w:type="spellEnd"/>
            <w:r w:rsidRPr="009E7E49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E7E49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kódja</w:t>
            </w:r>
            <w:proofErr w:type="spellEnd"/>
          </w:p>
        </w:tc>
        <w:tc>
          <w:tcPr>
            <w:tcW w:w="29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E7E49" w:rsidRPr="009E7E49" w:rsidRDefault="009E7E49" w:rsidP="009E7E4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proofErr w:type="spellStart"/>
            <w:r w:rsidRPr="009E7E49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Követelmény</w:t>
            </w:r>
            <w:proofErr w:type="spellEnd"/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E7E49" w:rsidRPr="009E7E49" w:rsidRDefault="009E7E49" w:rsidP="009E7E4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proofErr w:type="spellStart"/>
            <w:r w:rsidRPr="009E7E49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Kredit</w:t>
            </w:r>
            <w:proofErr w:type="spellEnd"/>
          </w:p>
        </w:tc>
      </w:tr>
      <w:tr w:rsidR="009E7E49" w:rsidRPr="009E7E49" w:rsidTr="00DB7B22">
        <w:tc>
          <w:tcPr>
            <w:tcW w:w="26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E7E49" w:rsidRPr="009E7E49" w:rsidRDefault="009E7E49" w:rsidP="009E7E4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r w:rsidRPr="009E7E49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BMEVEAAA708</w:t>
            </w:r>
          </w:p>
        </w:tc>
        <w:tc>
          <w:tcPr>
            <w:tcW w:w="297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E7E49" w:rsidRPr="009E7E49" w:rsidRDefault="009E7E49" w:rsidP="009E7E4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r w:rsidRPr="009E7E49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2+0+0/f</w:t>
            </w:r>
          </w:p>
        </w:tc>
        <w:tc>
          <w:tcPr>
            <w:tcW w:w="297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E7E49" w:rsidRPr="009E7E49" w:rsidRDefault="009E7E49" w:rsidP="009E7E49">
            <w:pPr>
              <w:spacing w:before="30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</w:pPr>
            <w:r w:rsidRPr="009E7E49">
              <w:rPr>
                <w:rFonts w:ascii="Arial" w:eastAsia="Times New Roman" w:hAnsi="Arial" w:cs="Arial"/>
                <w:color w:val="000000"/>
                <w:sz w:val="17"/>
                <w:szCs w:val="17"/>
                <w:lang w:val="en-US"/>
              </w:rPr>
              <w:t>3</w:t>
            </w:r>
          </w:p>
        </w:tc>
      </w:tr>
    </w:tbl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tanszéki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weboldala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(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aktuális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félévre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vonatkozó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információk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):</w:t>
      </w:r>
    </w:p>
    <w:p w:rsidR="009E7E49" w:rsidRPr="009E7E49" w:rsidRDefault="009E7E49" w:rsidP="009E7E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hyperlink r:id="rId4" w:history="1">
        <w:r w:rsidRPr="009E7E49">
          <w:rPr>
            <w:rFonts w:ascii="Arial" w:eastAsia="Times New Roman" w:hAnsi="Arial" w:cs="Arial"/>
            <w:color w:val="8C2532"/>
            <w:sz w:val="20"/>
            <w:szCs w:val="20"/>
            <w:u w:val="single"/>
            <w:lang w:val="en-US"/>
          </w:rPr>
          <w:t xml:space="preserve">http://iaachem.bme.hu/oktatas/Anal/Kémiai </w:t>
        </w:r>
        <w:proofErr w:type="spellStart"/>
        <w:r w:rsidRPr="009E7E49">
          <w:rPr>
            <w:rFonts w:ascii="Arial" w:eastAsia="Times New Roman" w:hAnsi="Arial" w:cs="Arial"/>
            <w:color w:val="8C2532"/>
            <w:sz w:val="20"/>
            <w:szCs w:val="20"/>
            <w:u w:val="single"/>
            <w:lang w:val="en-US"/>
          </w:rPr>
          <w:t>és</w:t>
        </w:r>
        <w:proofErr w:type="spellEnd"/>
        <w:r w:rsidRPr="009E7E49">
          <w:rPr>
            <w:rFonts w:ascii="Arial" w:eastAsia="Times New Roman" w:hAnsi="Arial" w:cs="Arial"/>
            <w:color w:val="8C2532"/>
            <w:sz w:val="20"/>
            <w:szCs w:val="20"/>
            <w:u w:val="single"/>
            <w:lang w:val="en-US"/>
          </w:rPr>
          <w:t xml:space="preserve"> </w:t>
        </w:r>
        <w:proofErr w:type="spellStart"/>
        <w:r w:rsidRPr="009E7E49">
          <w:rPr>
            <w:rFonts w:ascii="Arial" w:eastAsia="Times New Roman" w:hAnsi="Arial" w:cs="Arial"/>
            <w:color w:val="8C2532"/>
            <w:sz w:val="20"/>
            <w:szCs w:val="20"/>
            <w:u w:val="single"/>
            <w:lang w:val="en-US"/>
          </w:rPr>
          <w:t>bioszenzorok</w:t>
        </w:r>
        <w:proofErr w:type="spellEnd"/>
      </w:hyperlink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tantárgyfelelős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személy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tanszék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Dr.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Gyurcsányi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E.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Róbert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Szervetlen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Tanszék</w:t>
      </w:r>
      <w:proofErr w:type="spellEnd"/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előadója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932"/>
        <w:gridCol w:w="2496"/>
      </w:tblGrid>
      <w:tr w:rsidR="009E7E49" w:rsidRPr="009E7E49" w:rsidTr="009E7E49">
        <w:tc>
          <w:tcPr>
            <w:tcW w:w="3060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Név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932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Beosztás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496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Tanszék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Int.:</w:t>
            </w:r>
          </w:p>
        </w:tc>
      </w:tr>
      <w:tr w:rsidR="009E7E49" w:rsidRPr="009E7E49" w:rsidTr="009E7E49">
        <w:tc>
          <w:tcPr>
            <w:tcW w:w="3060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Gyurcsányi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Róbert</w:t>
            </w:r>
            <w:proofErr w:type="spellEnd"/>
          </w:p>
        </w:tc>
        <w:tc>
          <w:tcPr>
            <w:tcW w:w="1932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egyetemi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docens</w:t>
            </w:r>
            <w:proofErr w:type="spellEnd"/>
          </w:p>
        </w:tc>
        <w:tc>
          <w:tcPr>
            <w:tcW w:w="2496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Szervetlen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és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Analitikai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Kémia</w:t>
            </w:r>
            <w:proofErr w:type="spellEnd"/>
          </w:p>
        </w:tc>
      </w:tr>
      <w:tr w:rsidR="009E7E49" w:rsidRPr="009E7E49" w:rsidTr="009E7E49">
        <w:tc>
          <w:tcPr>
            <w:tcW w:w="3060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Jágerszki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Gyula</w:t>
            </w:r>
            <w:proofErr w:type="spellEnd"/>
          </w:p>
        </w:tc>
        <w:tc>
          <w:tcPr>
            <w:tcW w:w="1932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tud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segédmunkatárs</w:t>
            </w:r>
            <w:proofErr w:type="spellEnd"/>
          </w:p>
        </w:tc>
        <w:tc>
          <w:tcPr>
            <w:tcW w:w="2496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Szervetlen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és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Analitikai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Kémia</w:t>
            </w:r>
            <w:proofErr w:type="spellEnd"/>
          </w:p>
        </w:tc>
      </w:tr>
    </w:tbl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alábbi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témakörök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ismeretére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épít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fizikai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elektrokémia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),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biokémia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alapjai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matematikai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fizikai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alapismeretek</w:t>
      </w:r>
      <w:proofErr w:type="spellEnd"/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Kötelező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/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ajánlott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előtanulmányi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rend: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Labor (BMEVESAA403)</w:t>
      </w:r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célkitűzése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egyik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fontos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részterületét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biológiai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alkotják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jelentősége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hogy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nemcsak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laboratóriumokban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hanem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élő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szervezetben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közvetlenül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vizsgálat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helyszínén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is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használhatók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mintaelemzésre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folyamatok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nyomon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követésére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illetve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szabályozására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előadás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célja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fontosabb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típusainak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működésük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alapjainak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megismertetése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illetve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fejlesztéshez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szükséges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interdiszciplináris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integráló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szemlélet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elsajátítása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Cél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továbbá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technika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alkalmazhatóságának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bemutatása</w:t>
      </w:r>
      <w:proofErr w:type="spellEnd"/>
      <w:proofErr w:type="gram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különböző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társadalom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számára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is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fontos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területeken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így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orvosdiagnosztikában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környezettudományban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anyagtudományban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részletes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tematikája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szenzor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fogalma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típusai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analitikai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jellemzőinek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ismertetése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                </w:t>
      </w: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2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óra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-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bevezető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: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definiciója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alkalmazási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területük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természetes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szintetikus</w:t>
      </w:r>
      <w:proofErr w:type="spellEnd"/>
      <w:r w:rsidRPr="009E7E4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 </w:t>
      </w: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receptor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molekulák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illetve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jelátalakítási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módszerek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áttekintése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lastRenderedPageBreak/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érzékelők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mindennapokban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9E7E49" w:rsidRPr="009E7E49" w:rsidRDefault="009E7E49" w:rsidP="00DB7B22">
      <w:pPr>
        <w:shd w:val="clear" w:color="auto" w:fill="FFFFFF"/>
        <w:spacing w:before="30" w:after="30" w:line="360" w:lineRule="atLeas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Elektrokémiai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szenzorok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="00DB7B2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m</w:t>
      </w:r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éréstechnikák                     </w:t>
      </w:r>
      <w:r w:rsidR="00DB7B2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                           </w:t>
      </w:r>
      <w:bookmarkStart w:id="0" w:name="_GoBack"/>
      <w:bookmarkEnd w:id="0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   </w:t>
      </w: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       8 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óra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Szelektív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potenciometriás ion-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gázérzékelők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Voltammetriás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módszerek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Voltammetriás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makro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-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mikroelektródok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Miniatürizálás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gyártási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technológiák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Oxigén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Biokatalitikus</w:t>
      </w:r>
      <w:proofErr w:type="spellEnd"/>
      <w:r w:rsidRPr="009E7E4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szenzorok</w:t>
      </w:r>
      <w:proofErr w:type="spellEnd"/>
      <w:r w:rsidRPr="009E7E4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                                                                                     </w:t>
      </w: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7</w:t>
      </w:r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 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óra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biokatalizátorok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jellemző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tulajdonságai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elektrokémiai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 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amperometriás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glükóz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, 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stb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.)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 “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mediált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”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enzimelektródok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9E7E49" w:rsidRPr="009E7E49" w:rsidRDefault="009E7E49" w:rsidP="00DB7B22">
      <w:pPr>
        <w:shd w:val="clear" w:color="auto" w:fill="FFFFFF"/>
        <w:spacing w:before="30" w:after="30" w:line="360" w:lineRule="atLeas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Affinitás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alapú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="00DB7B2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b</w:t>
      </w:r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ioérzékelők</w:t>
      </w:r>
      <w:r w:rsidR="00DB7B2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                     </w:t>
      </w:r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                                                      </w:t>
      </w: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9 óra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-A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legáltalánosabban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használt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receptorok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jellemzői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előállításuk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antitest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nukleinsav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aptamer,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stb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.) </w:t>
      </w:r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    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Jelölést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alkalmazó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affinitáson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alapuló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analitikai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rendszerek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(ELISA, RIA)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Jelölés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nélküli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bioaffinitás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érzékelők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piezoelektromos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optikai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nanomechanikai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stb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.)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Távolság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moduláción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alapuló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érzékelők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molekuláris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villogók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)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Nanoszerkezeteken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alapuló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szenzorok</w:t>
      </w:r>
      <w:proofErr w:type="spellEnd"/>
      <w:r w:rsidRPr="009E7E49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>  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Biomolekulák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immobilizálása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 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Félévközi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zárthelyik</w:t>
      </w:r>
      <w:proofErr w:type="spellEnd"/>
      <w:r w:rsidRPr="009E7E4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-US"/>
        </w:rPr>
        <w:t>                                                                                                       </w:t>
      </w: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2 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óra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Összesen:</w:t>
      </w: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9E7E4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 xml:space="preserve">28 </w:t>
      </w:r>
      <w:proofErr w:type="spellStart"/>
      <w:r w:rsidRPr="009E7E49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óra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oktatásának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módja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előadás</w:t>
      </w:r>
      <w:proofErr w:type="spellEnd"/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Követelmények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a.    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szorgalmi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időszakban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részvétel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előadások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legalább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70%-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án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,</w:t>
      </w:r>
    </w:p>
    <w:p w:rsid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-a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szorgalmi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időszak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során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 2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félévközi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zárthelyi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sikeres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megírása</w:t>
      </w:r>
      <w:proofErr w:type="spellEnd"/>
    </w:p>
    <w:p w:rsid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-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első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zh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7-ik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oktatási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héten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második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pedig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u</w:t>
      </w:r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tolsó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(14)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héten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van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óraidőben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A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első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zh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40% -a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második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zh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pedig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60%-</w:t>
      </w:r>
      <w:proofErr w:type="gram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a</w:t>
      </w:r>
      <w:proofErr w:type="gram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a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jegynek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Mindkét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zh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-t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pótolni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lehet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egy-egy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lastRenderedPageBreak/>
        <w:t>alkalommal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pótZH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),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illetve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van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egy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pótpótzh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lehetőség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vizsgaidőszakban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amelyikben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bármelyik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de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csak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egy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zh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-t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lehet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pótolni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Zh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időpontok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Neptunban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fel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vannak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tüntetve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jelenlegi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félév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időpontjai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alábbi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táblázatban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vannak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összefoglalva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3402"/>
        <w:gridCol w:w="2977"/>
        <w:gridCol w:w="2268"/>
      </w:tblGrid>
      <w:tr w:rsidR="009E7E49" w:rsidRPr="009E7E49" w:rsidTr="00361216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zh1 (zh1M-255M)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2019.10.21. 10:15:00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2019.10.21. 12:00:00</w:t>
            </w:r>
          </w:p>
        </w:tc>
      </w:tr>
      <w:tr w:rsidR="009E7E49" w:rsidRPr="009E7E49" w:rsidTr="00361216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pótzh1 (pótzh1M-74M)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2019.10.28. 12:00:00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2019.10.28. 14:00:00</w:t>
            </w:r>
          </w:p>
        </w:tc>
      </w:tr>
      <w:tr w:rsidR="009E7E49" w:rsidRPr="009E7E49" w:rsidTr="00361216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zh2 (zh2M-238M)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2019.12.09. 10:15:00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2019.12.09. 12:00:00</w:t>
            </w:r>
          </w:p>
        </w:tc>
      </w:tr>
      <w:tr w:rsidR="009E7E49" w:rsidRPr="009E7E49" w:rsidTr="00361216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pótzh2 (pótzh2M-70M)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2019.12.16. 10:15:00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2019.12.16. 12:00:00</w:t>
            </w:r>
          </w:p>
        </w:tc>
      </w:tr>
      <w:tr w:rsidR="009E7E49" w:rsidRPr="009E7E49" w:rsidTr="00361216">
        <w:trPr>
          <w:trHeight w:val="28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pótpótzh</w:t>
            </w:r>
            <w:proofErr w:type="spellEnd"/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(pótpótzhM-56M)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2019.12.20. 10:15:00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E49" w:rsidRPr="009E7E49" w:rsidRDefault="009E7E49" w:rsidP="009E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E7E49">
              <w:rPr>
                <w:rFonts w:ascii="Calibri" w:eastAsia="Times New Roman" w:hAnsi="Calibri" w:cs="Calibri"/>
                <w:color w:val="000000"/>
                <w:lang w:val="en-US"/>
              </w:rPr>
              <w:t>2019.12.20. 12:00:00</w:t>
            </w:r>
          </w:p>
        </w:tc>
      </w:tr>
    </w:tbl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b.    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vizsgaidőszakban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: -.</w:t>
      </w:r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Pótlási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lehetőségek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 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szorgalmi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időszakban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illetve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pótlási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héten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: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pótzárthelyik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sikeres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teljesítése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Konzultációs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lehetőségek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szorgalmi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időszakban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előadóval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történő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egyeztetés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alapján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Jegyzet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tankönyv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felhasználható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irodalom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Hall, E. A. H.: Biosensors, Milton Keynes: Open University Press, 1990.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Edmonds, T. E.: Chemical Sensors, New York,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Chapmann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&amp; Hall, 1998.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Cunningham A.J.: Introduction to Bioanalytical Sensors, Wiley, 1998.</w:t>
      </w:r>
    </w:p>
    <w:p w:rsid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előadások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során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bemutatott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ábrák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segédletek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összefoglaló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közlemények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jegyzéke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Ezeket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hallgatók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egy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dropboxlinken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el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tudják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érni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amit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oktató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elküld</w:t>
      </w:r>
      <w:proofErr w:type="spellEnd"/>
      <w:r w:rsidR="00361216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361216" w:rsidRPr="009E7E49" w:rsidRDefault="00361216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elvégzéséhez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szükséges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tanulmányi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munka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előadások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rendszeres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látogatása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illetve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zárthelyi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dolgozatra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szóbeli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beszámolóra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való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felkészülés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előadások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zárthelyiken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való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részvétel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(28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óra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). 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felkészülésre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fordítandó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/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elvárható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idők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hallgatók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felkészültségétől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képességeitől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függően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kb. 60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óra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tematikáját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kidolgozta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932"/>
        <w:gridCol w:w="2496"/>
      </w:tblGrid>
      <w:tr w:rsidR="009E7E49" w:rsidRPr="009E7E49" w:rsidTr="009E7E49">
        <w:tc>
          <w:tcPr>
            <w:tcW w:w="3060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Név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932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Beosztás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496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Tanszék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Int.:</w:t>
            </w:r>
          </w:p>
        </w:tc>
      </w:tr>
      <w:tr w:rsidR="009E7E49" w:rsidRPr="009E7E49" w:rsidTr="009E7E49">
        <w:tc>
          <w:tcPr>
            <w:tcW w:w="3060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Gyurcsányi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Róbert</w:t>
            </w:r>
            <w:proofErr w:type="spellEnd"/>
          </w:p>
        </w:tc>
        <w:tc>
          <w:tcPr>
            <w:tcW w:w="1932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Egyetemi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docens</w:t>
            </w:r>
            <w:proofErr w:type="spellEnd"/>
          </w:p>
        </w:tc>
        <w:tc>
          <w:tcPr>
            <w:tcW w:w="2496" w:type="dxa"/>
            <w:hideMark/>
          </w:tcPr>
          <w:p w:rsidR="009E7E49" w:rsidRPr="009E7E49" w:rsidRDefault="009E7E49" w:rsidP="009E7E49">
            <w:pPr>
              <w:spacing w:before="30" w:after="3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Szervetlen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és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Analitikai</w:t>
            </w:r>
            <w:proofErr w:type="spellEnd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7E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Kémia</w:t>
            </w:r>
            <w:proofErr w:type="spellEnd"/>
          </w:p>
        </w:tc>
      </w:tr>
    </w:tbl>
    <w:p w:rsidR="009E7E49" w:rsidRPr="009E7E49" w:rsidRDefault="009E7E49" w:rsidP="009E7E49">
      <w:pPr>
        <w:shd w:val="clear" w:color="auto" w:fill="FFFFFF"/>
        <w:spacing w:after="75" w:line="240" w:lineRule="auto"/>
        <w:outlineLvl w:val="3"/>
        <w:rPr>
          <w:rFonts w:ascii="Arial" w:eastAsia="Times New Roman" w:hAnsi="Arial" w:cs="Arial"/>
          <w:color w:val="8C2532"/>
          <w:sz w:val="23"/>
          <w:szCs w:val="23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Tanulási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eredmények</w:t>
      </w:r>
      <w:proofErr w:type="spellEnd"/>
      <w:r w:rsidRPr="009E7E49">
        <w:rPr>
          <w:rFonts w:ascii="Arial" w:eastAsia="Times New Roman" w:hAnsi="Arial" w:cs="Arial"/>
          <w:color w:val="8C2532"/>
          <w:sz w:val="23"/>
          <w:szCs w:val="23"/>
          <w:lang w:val="en-US"/>
        </w:rPr>
        <w:t>: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A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tanulási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eredmények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között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adott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szak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Képzési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Kimeneti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Követelményében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[18/2016. (VIII. 5.) EMMI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rendelet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]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előírt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tanulási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eredmények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szerepelnek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kékkel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.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jelen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tantárgy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ezekhez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való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hozzájárulása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 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feketével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 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szedett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150" w:after="30" w:line="360" w:lineRule="atLeast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Tudás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Ismeri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vegyiparban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technológiákban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kapcsolódó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laboratóriumokban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használt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berendezések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eszközök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működési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elveit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szerkezeti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egységeiket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tervezésük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alapjait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lastRenderedPageBreak/>
        <w:t>Ismeri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alapvető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bioérzékelők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müködési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elvét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felépítését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illetve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folyamatos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on-line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mérések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jelentőségét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Ismeri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vegyiparban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általában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folyamatokban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használatos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mérési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elemzési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módszereket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eszközöket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mérőberendezéseiket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azok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alkalmazhatósági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körülményeit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Ismeri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alapvető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bioérzékelők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típusait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főbb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alkalmazási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területeiket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150" w:after="30" w:line="360" w:lineRule="atLeast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Képesség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Képes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korábban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nem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ismert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új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folyamatok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termékek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rendszerek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megismerésére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új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módszerek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elsajátítására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bevezetésére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emberi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egészséggel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kapcsolatos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hatásmechanizmusuk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felismerésére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Képes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extrapolálni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bioszenzorok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tervezési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elvét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új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elemzési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módszerek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fejlesztéséhez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Képes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laboratóriumi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félüzemi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üzemi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szintű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mérések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elvégzésére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értékelésre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fejlesztés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részfeladatainak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elvégzésére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Képes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kémiai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bioérzékelők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jelének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alapszíntű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feldolgozására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értelmezésére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a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leggyakoribb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hibaforrások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kiküszöbölésére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150" w:after="30" w:line="360" w:lineRule="atLeast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Attitűd</w:t>
      </w:r>
      <w:proofErr w:type="spellEnd"/>
    </w:p>
    <w:p w:rsidR="009E7E49" w:rsidRPr="009E7E49" w:rsidRDefault="009E7E49" w:rsidP="009E7E49">
      <w:pPr>
        <w:shd w:val="clear" w:color="auto" w:fill="FFFFFF"/>
        <w:spacing w:before="30" w:after="30" w:line="360" w:lineRule="atLeast"/>
        <w:jc w:val="both"/>
        <w:rPr>
          <w:rFonts w:ascii="Arial" w:eastAsia="Times New Roman" w:hAnsi="Arial" w:cs="Arial"/>
          <w:color w:val="0000FF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Törekszik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a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szakterületén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alkalmazott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legjobb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gyakorlatok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újabb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szakmai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ismeretek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,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módszerek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megismerésére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alkalmazására</w:t>
      </w:r>
      <w:proofErr w:type="spellEnd"/>
      <w:r w:rsidRPr="009E7E49">
        <w:rPr>
          <w:rFonts w:ascii="Arial" w:eastAsia="Times New Roman" w:hAnsi="Arial" w:cs="Arial"/>
          <w:color w:val="0000FF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75" w:after="150" w:line="360" w:lineRule="atLeast"/>
        <w:ind w:left="300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Törekszik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integrált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szemlélet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alkalmazására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az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elvégzendő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elemzést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tág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kontextusba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helyezni</w:t>
      </w:r>
      <w:proofErr w:type="spellEnd"/>
      <w:r w:rsidRPr="009E7E49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:rsidR="009E7E49" w:rsidRPr="009E7E49" w:rsidRDefault="009E7E49" w:rsidP="009E7E49">
      <w:pPr>
        <w:shd w:val="clear" w:color="auto" w:fill="FFFFFF"/>
        <w:spacing w:before="150" w:after="30" w:line="360" w:lineRule="atLeast"/>
        <w:jc w:val="both"/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</w:pPr>
      <w:proofErr w:type="spellStart"/>
      <w:r w:rsidRPr="009E7E49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Autonómia</w:t>
      </w:r>
      <w:proofErr w:type="spellEnd"/>
      <w:r w:rsidRPr="009E7E49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és</w:t>
      </w:r>
      <w:proofErr w:type="spellEnd"/>
      <w:r w:rsidRPr="009E7E49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 xml:space="preserve"> </w:t>
      </w:r>
      <w:proofErr w:type="spellStart"/>
      <w:r w:rsidRPr="009E7E49">
        <w:rPr>
          <w:rFonts w:ascii="Arial" w:eastAsia="Times New Roman" w:hAnsi="Arial" w:cs="Arial"/>
          <w:b/>
          <w:bCs/>
          <w:color w:val="0000FF"/>
          <w:sz w:val="20"/>
          <w:szCs w:val="20"/>
          <w:lang w:val="en-US"/>
        </w:rPr>
        <w:t>felelősség</w:t>
      </w:r>
      <w:proofErr w:type="spellEnd"/>
    </w:p>
    <w:p w:rsidR="00975062" w:rsidRDefault="00975062"/>
    <w:sectPr w:rsidR="00975062" w:rsidSect="00DB7B22">
      <w:pgSz w:w="11906" w:h="16838"/>
      <w:pgMar w:top="1440" w:right="25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49"/>
    <w:rsid w:val="00361216"/>
    <w:rsid w:val="00975062"/>
    <w:rsid w:val="009E7E49"/>
    <w:rsid w:val="00D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BCB4"/>
  <w15:chartTrackingRefBased/>
  <w15:docId w15:val="{2959B816-33C6-42C7-8137-2D555350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9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6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33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01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0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53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093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794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51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20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3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19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42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00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12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91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90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0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94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32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29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32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15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70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aachem.bme.hu/oktatas/Anal/K%C3%A9miai%20%C3%A9s%20bioszenzo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</dc:creator>
  <cp:keywords/>
  <dc:description/>
  <cp:lastModifiedBy>Robi</cp:lastModifiedBy>
  <cp:revision>2</cp:revision>
  <dcterms:created xsi:type="dcterms:W3CDTF">2019-09-06T08:11:00Z</dcterms:created>
  <dcterms:modified xsi:type="dcterms:W3CDTF">2019-09-06T08:32:00Z</dcterms:modified>
</cp:coreProperties>
</file>