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FA" w:rsidRPr="002E74FA" w:rsidRDefault="002E74FA" w:rsidP="002E74FA">
      <w:pPr>
        <w:pStyle w:val="Heading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8C2532"/>
          <w:sz w:val="25"/>
          <w:szCs w:val="25"/>
        </w:rPr>
      </w:pPr>
      <w:proofErr w:type="spellStart"/>
      <w:r w:rsidRPr="002E74FA">
        <w:rPr>
          <w:rFonts w:ascii="Arial" w:hAnsi="Arial" w:cs="Arial"/>
          <w:color w:val="8C2532"/>
          <w:sz w:val="25"/>
          <w:szCs w:val="25"/>
        </w:rPr>
        <w:t>Tantárgyadatlap</w:t>
      </w:r>
      <w:proofErr w:type="spellEnd"/>
      <w:r w:rsidRPr="002E74FA">
        <w:rPr>
          <w:rFonts w:ascii="Arial" w:hAnsi="Arial" w:cs="Arial"/>
          <w:color w:val="8C2532"/>
          <w:sz w:val="25"/>
          <w:szCs w:val="25"/>
        </w:rPr>
        <w:br/>
      </w:r>
      <w:proofErr w:type="spellStart"/>
      <w:r w:rsidRPr="002E74FA">
        <w:rPr>
          <w:rFonts w:ascii="Arial" w:hAnsi="Arial" w:cs="Arial"/>
          <w:color w:val="8C2532"/>
          <w:sz w:val="25"/>
          <w:szCs w:val="25"/>
        </w:rPr>
        <w:t>antárgyadatlap</w:t>
      </w:r>
      <w:proofErr w:type="spellEnd"/>
      <w:r w:rsidRPr="002E74FA">
        <w:rPr>
          <w:rFonts w:ascii="Arial" w:hAnsi="Arial" w:cs="Arial"/>
          <w:color w:val="8C2532"/>
          <w:sz w:val="25"/>
          <w:szCs w:val="25"/>
        </w:rPr>
        <w:br/>
      </w:r>
      <w:proofErr w:type="spellStart"/>
      <w:r w:rsidRPr="002E74FA">
        <w:rPr>
          <w:rFonts w:ascii="Arial" w:hAnsi="Arial" w:cs="Arial"/>
          <w:color w:val="8C2532"/>
          <w:sz w:val="25"/>
          <w:szCs w:val="25"/>
        </w:rPr>
        <w:t>és</w:t>
      </w:r>
      <w:proofErr w:type="spellEnd"/>
      <w:r w:rsidRPr="002E74FA">
        <w:rPr>
          <w:rFonts w:ascii="Arial" w:hAnsi="Arial" w:cs="Arial"/>
          <w:color w:val="8C2532"/>
          <w:sz w:val="25"/>
          <w:szCs w:val="25"/>
        </w:rPr>
        <w:t xml:space="preserve"> </w:t>
      </w:r>
      <w:proofErr w:type="spellStart"/>
      <w:r w:rsidRPr="002E74FA">
        <w:rPr>
          <w:rFonts w:ascii="Arial" w:hAnsi="Arial" w:cs="Arial"/>
          <w:color w:val="8C2532"/>
          <w:sz w:val="25"/>
          <w:szCs w:val="25"/>
        </w:rPr>
        <w:t>tantárgykövetelmények</w:t>
      </w:r>
      <w:proofErr w:type="spellEnd"/>
    </w:p>
    <w:p w:rsidR="002E74FA" w:rsidRPr="002E74FA" w:rsidRDefault="002E74FA" w:rsidP="002E74FA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</w:pPr>
      <w:proofErr w:type="spellStart"/>
      <w:r w:rsidRPr="002E74FA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 xml:space="preserve"> III</w:t>
      </w:r>
    </w:p>
    <w:p w:rsidR="002E74FA" w:rsidRPr="002E74FA" w:rsidRDefault="002E74FA" w:rsidP="002E74F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neve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angolul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: Analytical Chemistry III.</w:t>
      </w: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126"/>
        <w:gridCol w:w="3544"/>
      </w:tblGrid>
      <w:tr w:rsidR="002E74FA" w:rsidRPr="002E74FA" w:rsidTr="003D407D">
        <w:tc>
          <w:tcPr>
            <w:tcW w:w="25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Tantárgy</w:t>
            </w:r>
            <w:proofErr w:type="spellEnd"/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kódja</w:t>
            </w:r>
            <w:proofErr w:type="spellEnd"/>
          </w:p>
        </w:tc>
        <w:tc>
          <w:tcPr>
            <w:tcW w:w="21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Követelmény</w:t>
            </w:r>
            <w:proofErr w:type="spellEnd"/>
          </w:p>
        </w:tc>
        <w:tc>
          <w:tcPr>
            <w:tcW w:w="35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Kredit</w:t>
            </w:r>
            <w:bookmarkStart w:id="0" w:name="_GoBack"/>
            <w:bookmarkEnd w:id="0"/>
            <w:proofErr w:type="spellEnd"/>
          </w:p>
        </w:tc>
      </w:tr>
      <w:tr w:rsidR="002E74FA" w:rsidRPr="002E74FA" w:rsidTr="003D407D">
        <w:tc>
          <w:tcPr>
            <w:tcW w:w="25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BMEVESAM201</w:t>
            </w:r>
          </w:p>
        </w:tc>
        <w:tc>
          <w:tcPr>
            <w:tcW w:w="21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1+0+4/f</w:t>
            </w:r>
          </w:p>
        </w:tc>
        <w:tc>
          <w:tcPr>
            <w:tcW w:w="35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74FA" w:rsidRPr="002E74FA" w:rsidRDefault="002E74FA" w:rsidP="002E74FA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2E74FA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5</w:t>
            </w:r>
          </w:p>
        </w:tc>
      </w:tr>
    </w:tbl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tanszéki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weboldala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(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aktuális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félévre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vonatkozó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információk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):</w:t>
      </w:r>
    </w:p>
    <w:p w:rsidR="002E74FA" w:rsidRPr="002E74FA" w:rsidRDefault="002E74FA" w:rsidP="002E7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hyperlink r:id="rId5" w:history="1">
        <w:r w:rsidRPr="002E74FA">
          <w:rPr>
            <w:rFonts w:ascii="Arial" w:eastAsia="Times New Roman" w:hAnsi="Arial" w:cs="Arial"/>
            <w:color w:val="8C2532"/>
            <w:sz w:val="20"/>
            <w:szCs w:val="20"/>
            <w:u w:val="single"/>
            <w:lang w:val="en-US"/>
          </w:rPr>
          <w:t>http://oktatas.ch.bme.hu/oktatas/konyvek/anal/Anal3/</w:t>
        </w:r>
      </w:hyperlink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tantárgyfelelős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személy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tanszék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Dr.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Gyurcsányi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Róbert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BME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Szervetlen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és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Analitikai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Kémia</w:t>
      </w:r>
      <w:proofErr w:type="spellEnd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74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Tanszék</w:t>
      </w:r>
      <w:proofErr w:type="spellEnd"/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előadója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750"/>
        <w:gridCol w:w="5250"/>
      </w:tblGrid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Név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Beosztás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Intézet</w:t>
            </w:r>
            <w:proofErr w:type="spellEnd"/>
          </w:p>
        </w:tc>
      </w:tr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Gyurcsányi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E.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Róbert</w:t>
            </w:r>
            <w:proofErr w:type="spellEnd"/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egy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docens</w:t>
            </w:r>
            <w:proofErr w:type="spellEnd"/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BME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Szervetlen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és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Analitikai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Kémia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</w:p>
        </w:tc>
      </w:tr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Szilágyi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Imre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Miklós</w:t>
            </w:r>
            <w:proofErr w:type="spellEnd"/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egy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docens</w:t>
            </w:r>
            <w:proofErr w:type="spellEnd"/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BME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Szervetlen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és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Analitikai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Kémia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</w:p>
        </w:tc>
      </w:tr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Koczka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Béla</w:t>
            </w:r>
            <w:proofErr w:type="spellEnd"/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egy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docens</w:t>
            </w:r>
            <w:proofErr w:type="spellEnd"/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BME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Szervetlen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és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Analitikai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Kémia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</w:p>
        </w:tc>
      </w:tr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Balla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Márta</w:t>
            </w:r>
            <w:proofErr w:type="spellEnd"/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tud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munkatárs</w:t>
            </w:r>
            <w:proofErr w:type="spellEnd"/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BME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Atomenergetika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</w:p>
        </w:tc>
      </w:tr>
      <w:tr w:rsidR="002E74FA" w:rsidRPr="002E74FA" w:rsidTr="002E74FA">
        <w:tc>
          <w:tcPr>
            <w:tcW w:w="110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Fürjes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Péter</w:t>
            </w:r>
            <w:proofErr w:type="spellEnd"/>
          </w:p>
        </w:tc>
        <w:tc>
          <w:tcPr>
            <w:tcW w:w="9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tud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munkatárs</w:t>
            </w:r>
            <w:proofErr w:type="spellEnd"/>
          </w:p>
        </w:tc>
        <w:tc>
          <w:tcPr>
            <w:tcW w:w="2850" w:type="pct"/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MTA-TTK-MFA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Mikrotechnológia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Osztály</w:t>
            </w:r>
            <w:proofErr w:type="spellEnd"/>
          </w:p>
        </w:tc>
      </w:tr>
    </w:tbl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alábbi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témakörök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ismeretére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épít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klasszikus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műszeres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alapismeretek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</w:t>
      </w:r>
      <w:proofErr w:type="spellEnd"/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célkitűzése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tárgy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célja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hogy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áttekintést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nyújtson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egészéről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valamint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megismertesse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hallgatókat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legkorszerűbb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módszereivel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műszereivel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tárgy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során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hallgatók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szereznek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nemzetközi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irodalmának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feldolgozásából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lesznek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legfrissebb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eredmények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kritikai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értékelésére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Fejlesztik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szakmai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prezentációs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vitakészségüket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során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megszerzik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alapmérések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precíz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kivitelezéséhez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szükséges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;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megismerkednek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radioanalitikával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valamint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mikrotechnológiával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utóbbihoz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kapcsolódó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módszerekkel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Megismerhetik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modern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vállalat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működésének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alapjait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mintaelemzés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stádiumait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3D407D" w:rsidRDefault="003D407D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részletes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tematikája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Előadások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kémiai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irodalmazása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a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nemzetközi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irodalmának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feldolgozásának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szempontrendszere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adatbázisok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alapvető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tudománymetriai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ismeretek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.                                                          2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óra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áttekintése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rendszerezése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teljesítményjellemzők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Klasszikus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2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óra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áttekintése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rendszerezése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teljesítményjellemzők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Elektronalitika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Spektrofotometria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Lumineszcenciás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2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óra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áttekintése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rendszerezése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; </w:t>
      </w:r>
      <w:proofErr w:type="spellStart"/>
      <w:proofErr w:type="gram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teljesítményjellemzők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:</w:t>
      </w:r>
      <w:proofErr w:type="gram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Atomspektroszkópia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Kromatográfia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2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óra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Korszerű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nano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-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bioanalitikai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Kémiai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képalkotó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hiperspektrális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mikroszkópia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  <w:t xml:space="preserve">SPR imaging);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Nagyáteresztőképességű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bioanalitika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chiptechnológia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);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Miniatürizált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eszközök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MicroTAS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);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Egymolekula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analízis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(Single molecule analysis),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Anyagvizsgálati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módszerek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6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óra</w:t>
      </w:r>
      <w:proofErr w:type="spellEnd"/>
    </w:p>
    <w:p w:rsidR="003D407D" w:rsidRDefault="003D407D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Gyakorlatok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(</w:t>
      </w:r>
      <w:proofErr w:type="spellStart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prezentációs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)  (</w:t>
      </w:r>
      <w:proofErr w:type="spellStart"/>
      <w:proofErr w:type="gram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egyenként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4 </w:t>
      </w:r>
      <w:proofErr w:type="spellStart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óra</w:t>
      </w:r>
      <w:proofErr w:type="spellEnd"/>
      <w:r w:rsidRPr="002E74FA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)</w:t>
      </w:r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A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pontos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program a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létszám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és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a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külső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laboratóriumok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elérhetőségének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megfelelően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változhat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. A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pontos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beosztás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a 2-3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héten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várható</w:t>
      </w:r>
      <w:proofErr w:type="spellEnd"/>
      <w:r w:rsidR="003D407D"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  <w:t>.</w:t>
      </w:r>
    </w:p>
    <w:p w:rsidR="003D407D" w:rsidRPr="002E74FA" w:rsidRDefault="003D407D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US"/>
        </w:rPr>
      </w:pP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1.Klasszikus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volumetriás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eszközök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kalibrációja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(BME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Szervetlen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Tanszék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2.Nagypontosságú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titrálás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(BME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Szervetlen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Tanszék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3.Gravimetria (BME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Szervetlen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Kémia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Tanszék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4.Radioanalitika (BME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Atomenergetika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Tanszék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5.Mikro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nanofabrikáció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I. (MTA-TTK-MFA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Mikrotechnológia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Osztály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6.Mikro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nanofabrikáció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II. (MTA-TTK-MFA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Mikrotechnológia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Osztály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7. 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cég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látogatása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Wessling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Hungary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Kft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8. 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Cikkbemutatások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: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  <w:t>9. 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Cikkbemutatások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10.Cikkbemutatások: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11.Cikkbemutatások: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12.Cikkbemutatásokk: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13.Cikkbemutatások: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prezentálása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diszkussziója</w:t>
      </w:r>
      <w:proofErr w:type="spell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14.Cikkbemutatások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pótlása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általános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értékelés</w:t>
      </w:r>
      <w:proofErr w:type="spellEnd"/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oktatásának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módja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Követelmények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Részvétel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előadások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legalább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70 %-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Részvétel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laborgyakorlatok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legalább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70 %-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jegyzőkönyvek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elkészítése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</w:t>
      </w: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Vo</w:t>
      </w: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lumetriás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eszközök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kalibrációja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nagypontosságú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titrálás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gravimetria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laborok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elvégzése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kötelező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javítási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lehetőség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nincs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igazolt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hiányzás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esetében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labor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potolható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külső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helyszíneken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végzett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laborgyakorlatok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pótlására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nincs</w:t>
      </w:r>
      <w:proofErr w:type="spellEnd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3D407D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lehetőség.L</w:t>
      </w: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egalább</w:t>
      </w:r>
      <w:proofErr w:type="spellEnd"/>
      <w:proofErr w:type="gram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angolnyelvű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tárgyú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cikk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oktató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által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megadott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cikkek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közül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ennek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prezentálása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rövid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szakmai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pályázat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megírása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adott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témakörben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(Magyar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vagy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angol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nyelven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)</w:t>
      </w: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r w:rsidRPr="003D407D">
        <w:rPr>
          <w:rFonts w:ascii="Arial" w:eastAsia="Times New Roman" w:hAnsi="Arial" w:cs="Arial"/>
          <w:color w:val="000000"/>
          <w:sz w:val="20"/>
          <w:szCs w:val="20"/>
        </w:rPr>
        <w:t>jegyben a laboratóriumi gyakorlatokon elért átlag 25%-</w:t>
      </w:r>
      <w:proofErr w:type="spellStart"/>
      <w:r w:rsidRPr="003D407D">
        <w:rPr>
          <w:rFonts w:ascii="Arial" w:eastAsia="Times New Roman" w:hAnsi="Arial" w:cs="Arial"/>
          <w:color w:val="000000"/>
          <w:sz w:val="20"/>
          <w:szCs w:val="20"/>
        </w:rPr>
        <w:t>al</w:t>
      </w:r>
      <w:proofErr w:type="spellEnd"/>
      <w:r w:rsidRPr="003D407D">
        <w:rPr>
          <w:rFonts w:ascii="Arial" w:eastAsia="Times New Roman" w:hAnsi="Arial" w:cs="Arial"/>
          <w:color w:val="000000"/>
          <w:sz w:val="20"/>
          <w:szCs w:val="20"/>
        </w:rPr>
        <w:t>, az előadásokra, illetve pályázatra kapott jegy pedig 65, illetve 10 %-</w:t>
      </w:r>
      <w:proofErr w:type="spellStart"/>
      <w:r w:rsidRPr="003D407D">
        <w:rPr>
          <w:rFonts w:ascii="Arial" w:eastAsia="Times New Roman" w:hAnsi="Arial" w:cs="Arial"/>
          <w:color w:val="000000"/>
          <w:sz w:val="20"/>
          <w:szCs w:val="20"/>
        </w:rPr>
        <w:t>al</w:t>
      </w:r>
      <w:proofErr w:type="spellEnd"/>
      <w:r w:rsidRPr="003D407D">
        <w:rPr>
          <w:rFonts w:ascii="Arial" w:eastAsia="Times New Roman" w:hAnsi="Arial" w:cs="Arial"/>
          <w:color w:val="000000"/>
          <w:sz w:val="20"/>
          <w:szCs w:val="20"/>
        </w:rPr>
        <w:t xml:space="preserve"> járul hozzá. További pontok </w:t>
      </w:r>
      <w:proofErr w:type="gramStart"/>
      <w:r w:rsidRPr="003D407D">
        <w:rPr>
          <w:rFonts w:ascii="Arial" w:eastAsia="Times New Roman" w:hAnsi="Arial" w:cs="Arial"/>
          <w:color w:val="000000"/>
          <w:sz w:val="20"/>
          <w:szCs w:val="20"/>
        </w:rPr>
        <w:t>kaphatok</w:t>
      </w:r>
      <w:proofErr w:type="gramEnd"/>
      <w:r w:rsidRPr="003D407D">
        <w:rPr>
          <w:rFonts w:ascii="Arial" w:eastAsia="Times New Roman" w:hAnsi="Arial" w:cs="Arial"/>
          <w:color w:val="000000"/>
          <w:sz w:val="20"/>
          <w:szCs w:val="20"/>
        </w:rPr>
        <w:t xml:space="preserve"> amely a j</w:t>
      </w:r>
      <w:r w:rsidR="003D407D" w:rsidRPr="003D407D">
        <w:rPr>
          <w:rFonts w:ascii="Arial" w:eastAsia="Times New Roman" w:hAnsi="Arial" w:cs="Arial"/>
          <w:color w:val="000000"/>
          <w:sz w:val="20"/>
          <w:szCs w:val="20"/>
        </w:rPr>
        <w:t xml:space="preserve">egyet </w:t>
      </w:r>
      <w:proofErr w:type="spellStart"/>
      <w:r w:rsidR="003D407D" w:rsidRPr="003D407D">
        <w:rPr>
          <w:rFonts w:ascii="Arial" w:eastAsia="Times New Roman" w:hAnsi="Arial" w:cs="Arial"/>
          <w:color w:val="000000"/>
          <w:sz w:val="20"/>
          <w:szCs w:val="20"/>
        </w:rPr>
        <w:t>max</w:t>
      </w:r>
      <w:proofErr w:type="spellEnd"/>
      <w:r w:rsidR="003D407D" w:rsidRPr="003D407D">
        <w:rPr>
          <w:rFonts w:ascii="Arial" w:eastAsia="Times New Roman" w:hAnsi="Arial" w:cs="Arial"/>
          <w:color w:val="000000"/>
          <w:sz w:val="20"/>
          <w:szCs w:val="20"/>
        </w:rPr>
        <w:t>. 0.5 ponttal növelheti</w:t>
      </w:r>
      <w:r w:rsidRPr="003D407D">
        <w:rPr>
          <w:rFonts w:ascii="Arial" w:eastAsia="Times New Roman" w:hAnsi="Arial" w:cs="Arial"/>
          <w:color w:val="000000"/>
          <w:sz w:val="20"/>
          <w:szCs w:val="20"/>
        </w:rPr>
        <w:t xml:space="preserve"> az előadások alatti </w:t>
      </w:r>
      <w:proofErr w:type="gramStart"/>
      <w:r w:rsidRPr="003D407D">
        <w:rPr>
          <w:rFonts w:ascii="Arial" w:eastAsia="Times New Roman" w:hAnsi="Arial" w:cs="Arial"/>
          <w:color w:val="000000"/>
          <w:sz w:val="20"/>
          <w:szCs w:val="20"/>
        </w:rPr>
        <w:t>aktivitásra</w:t>
      </w:r>
      <w:proofErr w:type="gramEnd"/>
      <w:r w:rsidRPr="003D407D">
        <w:rPr>
          <w:rFonts w:ascii="Arial" w:eastAsia="Times New Roman" w:hAnsi="Arial" w:cs="Arial"/>
          <w:color w:val="000000"/>
          <w:sz w:val="20"/>
          <w:szCs w:val="20"/>
        </w:rPr>
        <w:t xml:space="preserve"> (érdemi kérdésekre, véleményekre, hozzászólásokra).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lastRenderedPageBreak/>
        <w:t>Pótlási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lehetőségek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gyakorlatokból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nincs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külön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pótlási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lehetőség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cikkbemutatás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alkalommal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potolható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Konzultációs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lehetőségek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oktatóval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való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megegyezés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alapján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Jegyzet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tankönyv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felhasználható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irodalom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előadásokhoz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:</w:t>
      </w:r>
      <w:proofErr w:type="gramEnd"/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American Chemical Society, Elsevier, Wiley, Royal Society of Chemistry, Nature,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stb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kiadók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br/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folyóírataiban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megjelent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cikkek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előadásban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megadott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hivatkozások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alapján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A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gyakorlatokhoz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Elektronikus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tananyag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oktató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által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megosztva</w:t>
      </w:r>
      <w:proofErr w:type="spellEnd"/>
      <w:r w:rsidRPr="002E74F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. </w:t>
      </w: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elvégzéséhez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szükséges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tanulmányi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munka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előadások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gyakorlatokon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való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részvétel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  (</w:t>
      </w:r>
      <w:proofErr w:type="gram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70 </w:t>
      </w:r>
      <w:proofErr w:type="spellStart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óra</w:t>
      </w:r>
      <w:proofErr w:type="spellEnd"/>
      <w:r w:rsidRPr="002E74FA">
        <w:rPr>
          <w:rFonts w:ascii="Arial" w:eastAsia="Times New Roman" w:hAnsi="Arial" w:cs="Arial"/>
          <w:color w:val="000000"/>
          <w:sz w:val="18"/>
          <w:szCs w:val="18"/>
          <w:lang w:val="en-US"/>
        </w:rPr>
        <w:t>). 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Felkészülés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gyakorlatokra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, 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angolnyelvű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feldolgozása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megértése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tágabb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kontextusban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való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helyezése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prezentáció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szerkesztése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jegyzőkönyvek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elkészítése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(80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). </w:t>
      </w:r>
    </w:p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tematikáját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kidolgozta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299"/>
        <w:gridCol w:w="4321"/>
      </w:tblGrid>
      <w:tr w:rsidR="002E74FA" w:rsidRPr="002E74FA" w:rsidTr="002E74FA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Név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Beosztás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, Int.:</w:t>
            </w:r>
          </w:p>
        </w:tc>
      </w:tr>
      <w:tr w:rsidR="002E74FA" w:rsidRPr="002E74FA" w:rsidTr="002E74FA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Gyurcsányi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E.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Róbert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egy.docens</w:t>
            </w:r>
            <w:proofErr w:type="spellEnd"/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4FA" w:rsidRPr="002E74FA" w:rsidRDefault="002E74FA" w:rsidP="002E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Szervetlen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és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Analitikai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Kémia</w:t>
            </w:r>
            <w:proofErr w:type="spellEnd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4F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Tanszék</w:t>
            </w:r>
            <w:proofErr w:type="spellEnd"/>
          </w:p>
        </w:tc>
      </w:tr>
    </w:tbl>
    <w:p w:rsidR="002E74FA" w:rsidRPr="002E74FA" w:rsidRDefault="002E74FA" w:rsidP="002E74FA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Tanulási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eredmények</w:t>
      </w:r>
      <w:proofErr w:type="spellEnd"/>
      <w:r w:rsidRPr="002E74FA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tanulási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eredmények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között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adott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szak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Képzési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Kimeneti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Követelményében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[18/2016. (VIII. 5.) EMMI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rendelet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]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előírt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tanulási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eredmények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szerepelnek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kékkel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.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jelen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tantárgy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ezekhez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való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hozzájárulása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 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feketével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 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szedett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Tudás</w:t>
      </w:r>
      <w:proofErr w:type="spellEnd"/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Rendelkezik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vegyészmérnöki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kémiai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technológiai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területhez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kapcsolódó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méréselméleti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méréstechnikai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anyagvizsgálati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ismeretekkel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Áttekintően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ismeri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teljesítményjellemzőit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feladat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megoldásához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megfelelő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tud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javasolni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vegyészmérnöki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területhez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kapcsolódó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információs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kommunikációs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technológiákat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Ismeri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eredmények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érthető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érdeklődésfelkeltő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bemutatásának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lehetőségeit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Képesség</w:t>
      </w:r>
      <w:proofErr w:type="spellEnd"/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Rendelkezik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színvonalas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kutató-fejlesztő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tevékenységhez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szükséges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manuális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készségekkel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alapvető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volumetriás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tömegmérési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eszközökkel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nagy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pontosságú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mérések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elvégzésére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lastRenderedPageBreak/>
        <w:t>Képes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vegyészmérnöki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kémiai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kémiai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technológiai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területen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alkalmazott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elemzések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anyagvizsgálatok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elvégzésére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értékelésére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dokumentálására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szükség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esetén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vizsgálati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módszerek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továbbfejlesztésére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új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módszerek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bevezetésére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nemzetközi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irodalomban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módszerfejlesztéshez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szükséges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információk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megszerzésére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feldolgozására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Képes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kreatív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problémakezelésre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összetett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feladatok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rugalmas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megoldására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továbbá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élethosszig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tartó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tanulásra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nyitottság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értékalapúság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megtartásával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átlátni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hogy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folyamatosan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fejlődnek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teljesítményjellemzők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alkalmazhatóság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tekintetében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ezzel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lépést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tartani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csak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folyamatos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önképzéssel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Attitűd</w:t>
      </w:r>
      <w:proofErr w:type="spellEnd"/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Törekszik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szakmailag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magas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szinten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önállóan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vagy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munkacsoportban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megtervezni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végrehajtani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feladatait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Törekedni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fog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önálló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szinvonalas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munkára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legszinvonalasabb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tudományos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közlemények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elemzésén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keresztül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disztingválni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tud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szakmai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munkák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szinvonalát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tekintetében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Munkája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során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vizsgálja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kutatási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fejlesztési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innovációs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célok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kitűzésének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lehetőségét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törekszik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azok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elérésére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elkötelezett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szakterület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új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ismeretekkel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tudományos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műszaki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eredményekkel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való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gyarapítására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Elkötelezett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új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ismeretek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bevezetésére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alkalmazására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Autonómia</w:t>
      </w:r>
      <w:proofErr w:type="spellEnd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felelősség</w:t>
      </w:r>
      <w:proofErr w:type="spellEnd"/>
    </w:p>
    <w:p w:rsidR="002E74FA" w:rsidRPr="002E74FA" w:rsidRDefault="002E74FA" w:rsidP="002E74FA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Szakmai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problémák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megoldása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során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önállóan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kezdeményezően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lép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fel</w:t>
      </w:r>
      <w:proofErr w:type="spellEnd"/>
      <w:r w:rsidRPr="002E74FA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2E74FA" w:rsidRPr="002E74FA" w:rsidRDefault="002E74FA" w:rsidP="002E74FA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Önállóan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próbál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feladatokat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megoldani</w:t>
      </w:r>
      <w:proofErr w:type="spellEnd"/>
      <w:r w:rsidRPr="002E74FA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75062" w:rsidRDefault="00975062" w:rsidP="002E74FA">
      <w:pPr>
        <w:spacing w:before="150" w:after="150" w:line="360" w:lineRule="atLeast"/>
        <w:jc w:val="center"/>
        <w:outlineLvl w:val="2"/>
      </w:pPr>
    </w:p>
    <w:sectPr w:rsidR="00975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E74"/>
    <w:multiLevelType w:val="multilevel"/>
    <w:tmpl w:val="C74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FA"/>
    <w:rsid w:val="002E74FA"/>
    <w:rsid w:val="003D407D"/>
    <w:rsid w:val="009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16F0"/>
  <w15:chartTrackingRefBased/>
  <w15:docId w15:val="{6FE906BB-2003-40DB-AA27-06E2DF18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E7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E74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E74F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E74F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foreignname">
    <w:name w:val="foreign_name"/>
    <w:basedOn w:val="Normal"/>
    <w:rsid w:val="002E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E74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4F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81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8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08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96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490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27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036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6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45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04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7389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7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31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13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3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9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5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48436">
          <w:marLeft w:val="0"/>
          <w:marRight w:val="0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395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45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26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1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43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94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1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7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4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1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6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7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3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1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99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8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4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1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1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36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0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5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0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5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13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ktatas.ch.bme.hu/oktatas/konyvek/anal/Anal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Robi</cp:lastModifiedBy>
  <cp:revision>1</cp:revision>
  <dcterms:created xsi:type="dcterms:W3CDTF">2019-09-06T09:12:00Z</dcterms:created>
  <dcterms:modified xsi:type="dcterms:W3CDTF">2019-09-06T09:28:00Z</dcterms:modified>
</cp:coreProperties>
</file>