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</w:t>
      </w:r>
      <w:r w:rsidDel="00000000" w:rsidR="00000000" w:rsidRPr="00000000">
        <w:rPr>
          <w:b w:val="1"/>
          <w:sz w:val="32"/>
          <w:szCs w:val="32"/>
          <w:rtl w:val="0"/>
        </w:rPr>
        <w:t xml:space="preserve"> sejtek felépítése az elemi szinttől a sejtalkotókig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Nagyítási vizsgálatok méréshatárai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Szem: ~0,1 mm-es nagyságrendig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fénymikroszkóp: ~200 nm-es nagyságrendig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szuperfelbontású fluoreszcens mikroszkópia: ~20 nm-es nagyságrendig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elektronmikroszkóp: ~0,2 nm-es nagyságrendig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Sejtek, sejtalkotók mérettartományai: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Eukarióták: ~10-20 µm (idegsejtek akár több 100 µm-esek is lehetnek)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Prokarióták, mitokondrium: ~1-2 µm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Riboszómák: ~20 nm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203200</wp:posOffset>
            </wp:positionV>
            <wp:extent cx="5760720" cy="4196080"/>
            <wp:effectExtent b="0" l="0" r="0" t="0"/>
            <wp:wrapTopAndBottom distB="0" distT="0"/>
            <wp:docPr id="212272415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6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b w:val="1"/>
          <w:rtl w:val="0"/>
        </w:rPr>
        <w:t xml:space="preserve">Biogén elemek</w:t>
      </w:r>
      <w:r w:rsidDel="00000000" w:rsidR="00000000" w:rsidRPr="00000000">
        <w:rPr>
          <w:rtl w:val="0"/>
        </w:rPr>
        <w:t xml:space="preserve">: az élő szervezetek fő felépítői: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Elsődleges: C; H; O; 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Másodlagos: S; P; Cl; Na; K; Mg; Ca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Harmadlagos: Fe; Co; Ni; Cu; Zn; V; Cr; Mn; Mo; F; I; Se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Bizonytalan biogenitású elemek: B; Si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A sejt összetétele: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70% víz,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30% szárazanyag, ebből:</w:t>
      </w:r>
    </w:p>
    <w:p w:rsidR="00000000" w:rsidDel="00000000" w:rsidP="00000000" w:rsidRDefault="00000000" w:rsidRPr="00000000" w14:paraId="0000001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15% fehérje, 6% RNS, 4% szervetlen ionok, 2% foszfolipid, 2% poliszacharid, 1% DNS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single"/>
          <w:shd w:fill="auto" w:val="clear"/>
          <w:vertAlign w:val="baseline"/>
          <w:rtl w:val="0"/>
        </w:rPr>
        <w:t xml:space="preserve">Biokémiai gyorstalpaló emeltbiosszal nem rendelkezőknek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single"/>
          <w:shd w:fill="auto" w:val="clear"/>
          <w:vertAlign w:val="baseline"/>
          <w:rtl w:val="0"/>
        </w:rPr>
        <w:t xml:space="preserve">Lipidek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Neutrális lipidek (szerveskémiából volt, nem részletezem):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1 glicerinből + 3 zsírsavból jönnek létre kondenzációval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Amelyikek szobahőmérsékleten szilárdak, zsíroknak nevezzük, ezekben több telített zsírsav van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Amelyikek szobahőmérsékleten folyékonyak, olajoknak nevezzük, ezekben több telítetlen zsírsav van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Felhasználásuk a sejtben: tápanyagraktár, vitamin oldószer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Foszfatidok: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3456940</wp:posOffset>
            </wp:positionH>
            <wp:positionV relativeFrom="paragraph">
              <wp:posOffset>73660</wp:posOffset>
            </wp:positionV>
            <wp:extent cx="2305685" cy="2834640"/>
            <wp:effectExtent b="0" l="0" r="0" t="0"/>
            <wp:wrapSquare wrapText="bothSides" distB="0" distT="0" distL="114300" distR="114300"/>
            <wp:docPr descr="Micelle - Wikipedia" id="2122724154" name="image10.png"/>
            <a:graphic>
              <a:graphicData uri="http://schemas.openxmlformats.org/drawingml/2006/picture">
                <pic:pic>
                  <pic:nvPicPr>
                    <pic:cNvPr descr="Micelle - Wikipedia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834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1 glicerinből + 2 zsírsavból (általában egy telítettből és egy telítetlenből) + 1 foszforsavból + 1 N-tartalmú bázikus molekulából jönnek létre kondenzációval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foszfáttartalmú részt fejnek, a zsírsavakat farkoknak nevezzük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Mivel a farkok apolárisak, a fej poláris, a molekula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amfipatikus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, azaz kettős oldhatóságú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Oldhatóságukból adódóan vízben úgy igyekeznek fordulni, hogy a poláris vég érintkezzen a vízzel, az apoláris vég pedig a többi foszfatid apoláris végével. Két stabil lehetőségük van ennek megvalósítására: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78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micella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78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és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liposzóma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Az ábrán feltüntetett kettős réteg lap szélei spontán liposzómává zárulnak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Felhasználásuk a sejtben: a sejthártya alkotóelemei, elhatároló szerepük van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Karotinoidok: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Az izoprén oligomerjei, jellegzetességük a bennük található konjugált kettőskötés rendszer, amiben az 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superscript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-ok delokalizálódnak, és emiatt fénnyel gerjeszthetővé válnak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Legfontosabb tulajdonságuk, hogy gerjesztés hatására jelentős (cisz-transz) térszerkezetváltozás mehet bennük végbe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Szteroidok: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4060825</wp:posOffset>
            </wp:positionH>
            <wp:positionV relativeFrom="paragraph">
              <wp:posOffset>6985</wp:posOffset>
            </wp:positionV>
            <wp:extent cx="1798320" cy="1295400"/>
            <wp:effectExtent b="0" l="0" r="0" t="0"/>
            <wp:wrapSquare wrapText="bothSides" distB="0" distT="0" distL="114300" distR="114300"/>
            <wp:docPr descr="A képen diagram, vázlat, origami, tervezés látható&#10;&#10;Automatikusan generált leírás" id="2122724165" name="image16.png"/>
            <a:graphic>
              <a:graphicData uri="http://schemas.openxmlformats.org/drawingml/2006/picture">
                <pic:pic>
                  <pic:nvPicPr>
                    <pic:cNvPr descr="A képen diagram, vázlat, origami, tervezés látható&#10;&#10;Automatikusan generált leírás"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Szteránvázat tartalmazó molekulák, mivel gyakran poláris oldalláncaik vannak, ált. kis mértékben amfipatikusak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Felhasználásuk a sejtben: hormonként, sejthártyafolyékonyság-stabilizátorként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6"/>
          <w:szCs w:val="36"/>
          <w:u w:val="single"/>
          <w:shd w:fill="auto" w:val="clear"/>
          <w:vertAlign w:val="baseline"/>
          <w:rtl w:val="0"/>
        </w:rPr>
        <w:t xml:space="preserve">Szénhidrátok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Mivel ez a téma szerves kémiából is pontosan van taglalva, inkább csak egyes cukrokat, és olyan folyamatokat mutatok be, amit a kémia tananyag nem feltétlenül taglal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Gyűrűvé záródás a glükóz példáján: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60720" cy="2714625"/>
            <wp:effectExtent b="0" l="0" r="0" t="0"/>
            <wp:docPr id="212272416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Ismerendő szénhidrátok (amiket lehet, hogy nem vettetek kémiából):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Glicerinaldehid: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Calvin-ciklus (fotoszintézis) és a glikolízis (biológiai oxidáció) terméke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14550" cy="1219507"/>
                  <wp:effectExtent b="0" l="0" r="0" t="0"/>
                  <wp:docPr descr="A képen diagram, sor, vázlat, tervezés látható&#10;&#10;Automatikusan generált leírás" id="2122724159" name="image17.png"/>
                  <a:graphic>
                    <a:graphicData uri="http://schemas.openxmlformats.org/drawingml/2006/picture">
                      <pic:pic>
                        <pic:nvPicPr>
                          <pic:cNvPr descr="A képen diagram, sor, vázlat, tervezés látható&#10;&#10;Automatikusan generált leírás" id="0" name="image1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50" cy="1219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Ribulóz: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Calvin-ciklus egyik kiindulási anyaga a ribulóz egy foszfáttartalmú módosulata, a ribulóz-1,5-diszfoszfát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02735" cy="996106"/>
                  <wp:effectExtent b="0" l="0" r="0" t="0"/>
                  <wp:docPr id="212272416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35" cy="996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Galaktóz: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glükóz egy diasztereomere</w:t>
            </w:r>
          </w:p>
        </w:tc>
      </w:tr>
    </w:tbl>
    <w:p w:rsidR="00000000" w:rsidDel="00000000" w:rsidP="00000000" w:rsidRDefault="00000000" w:rsidRPr="00000000" w14:paraId="00000037">
      <w:pPr>
        <w:spacing w:after="160" w:line="278.00000000000006" w:lineRule="auto"/>
        <w:jc w:val="left"/>
        <w:rPr>
          <w:color w:val="00b05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Fehérjék: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C-terminális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a fehérje azon vége, ahol az aminosav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karboxil-csoport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ja van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N-terminális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a fehérje azon vége, ahol az aminosav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amino-csoport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ja van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A fehérjeszintézis az N-terminálison kezdődik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Amidkötés két aminosav között: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peptidkötés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Elsődleges szerkezet: aminosavsorrend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Másodlagos szerkezet: térszerkezeti egységek: α-hélix, β-redő; a peptidkötés oxocsoportja és amincsoportján levő H alkotta hidrogénkötés stabilizálja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Harmadlagos szerkezet: a fehérje teljes térszerkezete, egymástól távol levő aminosavak is kölcsönhatásba lépnek egymással; stabilizáló erők: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diszperziós kölcsönhatás: apoláris oldalláncok között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hidrogénkötés: OH csoportot hordozó oldalláncok között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ionos kötés: ellentétes töltésű oldalláncok között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diszulfidhíd: SH tartalmú oldalláncok (cisztein) oxidációjakor, kovalens kötés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Negyedleges szerkezet: több fehérje összekapcsolódásakor létrejövő fehérje; összetartó erők: mint a harmadlagos szerkezetnél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b w:val="1"/>
          <w:rtl w:val="0"/>
        </w:rPr>
        <w:t xml:space="preserve">Fehérjekomplex</w:t>
      </w:r>
      <w:r w:rsidDel="00000000" w:rsidR="00000000" w:rsidRPr="00000000">
        <w:rPr>
          <w:rtl w:val="0"/>
        </w:rPr>
        <w:t xml:space="preserve">: sok nemkovalens kötés létrehozására képes felülettel rendelkező fehérjék összekapcsolódása (pl.: riboszóma)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A fehérjék a molekulán egy bizonyos funkcióval rendelkező részét </w:t>
      </w:r>
      <w:r w:rsidDel="00000000" w:rsidR="00000000" w:rsidRPr="00000000">
        <w:rPr>
          <w:b w:val="1"/>
          <w:rtl w:val="0"/>
        </w:rPr>
        <w:t xml:space="preserve">domén</w:t>
      </w:r>
      <w:r w:rsidDel="00000000" w:rsidR="00000000" w:rsidRPr="00000000">
        <w:rPr>
          <w:rtl w:val="0"/>
        </w:rPr>
        <w:t xml:space="preserve">nek nevezzük, ilyen például egy receptor észlelő része, vagy egy enzim azon része, ahova a működését gátló molekula beköthet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Protein: ha a fehérje csak aminosavakból áll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Proteid: ha fehérje nem csak aminosavakból áll, típusai: lipo-, gliko-, metallo-, nukleo-, stb.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Nukleotidok: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1 nukleotid = 1 pentóz (ribóz/dezoxiribóz) + 1 foszforsav + 1 bázis (adenin/guanin/citozin/ timin/uraci)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b05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A=T; A=U; G≡C (a vízszintes vonalak itt a H-hidak számát jelzik) </w:t>
          </w:r>
        </w:sdtContent>
      </w:sdt>
      <w:r w:rsidDel="00000000" w:rsidR="00000000" w:rsidRPr="00000000">
        <w:rPr>
          <w:color w:val="00b050"/>
          <w:rtl w:val="0"/>
        </w:rPr>
        <w:t xml:space="preserve">ezt a megállapítást Watson és Crick tette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Példák:</w:t>
      </w:r>
    </w:p>
    <w:tbl>
      <w:tblPr>
        <w:tblStyle w:val="Table2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7"/>
        <w:gridCol w:w="5665"/>
        <w:tblGridChange w:id="0">
          <w:tblGrid>
            <w:gridCol w:w="3397"/>
            <w:gridCol w:w="56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ATP; Adenozin-TriPhoszfát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Energiatároló molekula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20933" cy="1243794"/>
                  <wp:effectExtent b="0" l="0" r="0" t="0"/>
                  <wp:docPr descr="Adenosine triphosphate - Wikipedia" id="2122724161" name="image1.png"/>
                  <a:graphic>
                    <a:graphicData uri="http://schemas.openxmlformats.org/drawingml/2006/picture">
                      <pic:pic>
                        <pic:nvPicPr>
                          <pic:cNvPr descr="Adenosine triphosphate - Wikipedia"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33" cy="1243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+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Nikotinsavamid-Adenin-Dinukleotid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biológiai oxidációban fontos szerepet játszik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H-akceptor biokémiai folyamatokban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02003" cy="1390468"/>
                  <wp:effectExtent b="0" l="0" r="0" t="0"/>
                  <wp:docPr descr="NAD+ - Longevity Wiki" id="2122724164" name="image13.png"/>
                  <a:graphic>
                    <a:graphicData uri="http://schemas.openxmlformats.org/drawingml/2006/picture">
                      <pic:pic>
                        <pic:nvPicPr>
                          <pic:cNvPr descr="NAD+ - Longevity Wiki"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003" cy="13904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NADP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+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Nikotinsavamid-Adenin-Dinukleotid-Phoszfát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fotoszintézisben fontos szerepet játszik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H-donor biokémiai folyamatokban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78.0000000000000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458465" cy="1071603"/>
                  <wp:effectExtent b="0" l="0" r="0" t="0"/>
                  <wp:docPr descr="NADP, Disodium Salt | 24292-60-2" id="2122724163" name="image14.gif"/>
                  <a:graphic>
                    <a:graphicData uri="http://schemas.openxmlformats.org/drawingml/2006/picture">
                      <pic:pic>
                        <pic:nvPicPr>
                          <pic:cNvPr descr="NADP, Disodium Salt | 24292-60-2" id="0" name="image14.gif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465" cy="10716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952500</wp:posOffset>
                      </wp:positionV>
                      <wp:extent cx="194407" cy="112346"/>
                      <wp:effectExtent b="0" l="0" r="0" t="0"/>
                      <wp:wrapNone/>
                      <wp:docPr id="21227241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55147" y="3730177"/>
                                <a:ext cx="181707" cy="996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952500</wp:posOffset>
                      </wp:positionV>
                      <wp:extent cx="194407" cy="112346"/>
                      <wp:effectExtent b="0" l="0" r="0" t="0"/>
                      <wp:wrapNone/>
                      <wp:docPr id="212272415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407" cy="11234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58">
      <w:pPr>
        <w:spacing w:after="160" w:line="278.00000000000006" w:lineRule="auto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A NAD; NADH H-kötési mechanizmusa (abszolút nem tananyag, csak érdekesség: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-15874</wp:posOffset>
            </wp:positionH>
            <wp:positionV relativeFrom="paragraph">
              <wp:posOffset>210185</wp:posOffset>
            </wp:positionV>
            <wp:extent cx="4955397" cy="5785859"/>
            <wp:effectExtent b="0" l="0" r="0" t="0"/>
            <wp:wrapSquare wrapText="bothSides" distB="0" distT="0" distL="114300" distR="114300"/>
            <wp:docPr id="212272416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5397" cy="5785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78.00000000000006" w:lineRule="auto"/>
        <w:jc w:val="left"/>
        <w:rPr>
          <w:i w:val="1"/>
          <w:color w:val="00b0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/>
      </w:pPr>
      <w:r w:rsidDel="00000000" w:rsidR="00000000" w:rsidRPr="00000000">
        <w:rPr>
          <w:rtl w:val="0"/>
        </w:rPr>
        <w:t xml:space="preserve">RNS: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Nukleotidjait ribóz, A, U, G, C alkotják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foszforsav a mononukleotid-alegység 5. ribózának C-atomjához kapcsolódik, amikor ez egy másik nukleotiddal kötést létesít, a foszforsav a másik ribóz 3. C-atomján levő OH-csoporttal kondenzálódva képez kötést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Ez azt eredményezi, hogy az RNS egyik végén a ribózon az 5. C-atomhoz köt a foszfátcsoport: ez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5’-vég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a másik végén a ribózon a 3. C-atomhoz köt a foszfátcsoport: ez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3’-vég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Módosulatai: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(essenger)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egy szálú hélix, érett formában egy három foszfátcsoporton (a továbbiakban csak (P)) keresztül </w:t>
      </w:r>
      <w:sdt>
        <w:sdtPr>
          <w:tag w:val="goog_rdk_1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kapcsolódó guanozin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(guanin + ribóz) kapcsolódik az 5’-véghez és ~200 adenozin a 3’-véghez, ezek stabilizálják az alapvetően könnyen bomló molekulát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3916679</wp:posOffset>
            </wp:positionH>
            <wp:positionV relativeFrom="paragraph">
              <wp:posOffset>5080</wp:posOffset>
            </wp:positionV>
            <wp:extent cx="1844040" cy="2669540"/>
            <wp:effectExtent b="0" l="0" r="0" t="0"/>
            <wp:wrapSquare wrapText="bothSides" distB="0" distT="0" distL="114300" distR="114300"/>
            <wp:docPr descr="Biológia 12. - I. Megfejthető üzenetek - molekuláris genetika - 1. A kód  átírása és fordítása" id="2122724156" name="image9.jpg"/>
            <a:graphic>
              <a:graphicData uri="http://schemas.openxmlformats.org/drawingml/2006/picture">
                <pic:pic>
                  <pic:nvPicPr>
                    <pic:cNvPr descr="Biológia 12. - I. Megfejthető üzenetek - molekuláris genetika - 1. A kód  átírása és fordítása"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669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76200</wp:posOffset>
                </wp:positionV>
                <wp:extent cx="931545" cy="276225"/>
                <wp:effectExtent b="0" l="0" r="0" t="0"/>
                <wp:wrapNone/>
                <wp:docPr id="212272415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4990" y="3646650"/>
                          <a:ext cx="9220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aminosavkötőhely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76200</wp:posOffset>
                </wp:positionV>
                <wp:extent cx="931545" cy="276225"/>
                <wp:effectExtent b="0" l="0" r="0" t="0"/>
                <wp:wrapNone/>
                <wp:docPr id="212272415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54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(ranszporter)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kereszthez hasonló alakú, stabil, mert néhány helyen a bázisok hidrogénkötést létesítenek egymással; a fehérjeszintézis alatt aminosavakat szállítanak a riboszómához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(iboszomális)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stabil, a riboszóma felépítésében és működésében vesz részt</w:t>
      </w:r>
    </w:p>
    <w:p w:rsidR="00000000" w:rsidDel="00000000" w:rsidP="00000000" w:rsidRDefault="00000000" w:rsidRPr="00000000" w14:paraId="00000063">
      <w:pPr>
        <w:pStyle w:val="Heading2"/>
        <w:rPr/>
      </w:pPr>
      <w:r w:rsidDel="00000000" w:rsidR="00000000" w:rsidRPr="00000000">
        <w:rPr>
          <w:rtl w:val="0"/>
        </w:rPr>
        <w:t xml:space="preserve">DNS: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Nukleotidjait dezoxiribóz, A, T, G, C alkotják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Az mRNS-hez hasonlóan hélixet képez, ez a forma egy nagyon stabil molekulát képez, de kettős szálút, a szálakon levő nukleotidok kiegészítik egymást (A-T, G-C) ezt </w:t>
      </w:r>
      <w:r w:rsidDel="00000000" w:rsidR="00000000" w:rsidRPr="00000000">
        <w:rPr>
          <w:b w:val="1"/>
          <w:rtl w:val="0"/>
        </w:rPr>
        <w:t xml:space="preserve">komplementer</w:t>
      </w:r>
      <w:r w:rsidDel="00000000" w:rsidR="00000000" w:rsidRPr="00000000">
        <w:rPr>
          <w:rtl w:val="0"/>
        </w:rPr>
        <w:t xml:space="preserve"> elrendeződésnek nevezzük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A 3’, 5’ -vég ugyanígy megvan, de a két szál egymáshoz képest </w:t>
      </w:r>
      <w:r w:rsidDel="00000000" w:rsidR="00000000" w:rsidRPr="00000000">
        <w:rPr>
          <w:b w:val="1"/>
          <w:rtl w:val="0"/>
        </w:rPr>
        <w:t xml:space="preserve">antiparallel </w:t>
      </w:r>
      <w:r w:rsidDel="00000000" w:rsidR="00000000" w:rsidRPr="00000000">
        <w:rPr>
          <w:rtl w:val="0"/>
        </w:rPr>
        <w:t xml:space="preserve">elrendezésű, azaz az egyik végen az egyik szálnak az 5’, a másik szálnak a 3’ vége van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Transzkripció </w:t>
      </w:r>
      <w:r w:rsidDel="00000000" w:rsidR="00000000" w:rsidRPr="00000000">
        <w:rPr>
          <w:color w:val="00b050"/>
          <w:rtl w:val="0"/>
        </w:rPr>
        <w:t xml:space="preserve">(RNS szintézis a DNS alapján) </w:t>
      </w:r>
      <w:r w:rsidDel="00000000" w:rsidR="00000000" w:rsidRPr="00000000">
        <w:rPr>
          <w:rtl w:val="0"/>
        </w:rPr>
        <w:t xml:space="preserve">esetén a DNS felnyílik, egyik szálán RNS szintetizálódik, a másik szálon nem történik semmi (ez mindig az RNS 5’-végétől a 3’-végéig megy)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b w:val="1"/>
          <w:rtl w:val="0"/>
        </w:rPr>
        <w:t xml:space="preserve">Crick centrális dogmája: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4130039</wp:posOffset>
            </wp:positionH>
            <wp:positionV relativeFrom="paragraph">
              <wp:posOffset>8890</wp:posOffset>
            </wp:positionV>
            <wp:extent cx="1630680" cy="1334770"/>
            <wp:effectExtent b="0" l="0" r="0" t="0"/>
            <wp:wrapSquare wrapText="bothSides" distB="0" distT="0" distL="114300" distR="114300"/>
            <wp:docPr descr="Central dogma of molecular biology - Simple English Wikipedia, the free  encyclopedia" id="2122724158" name="image3.png"/>
            <a:graphic>
              <a:graphicData uri="http://schemas.openxmlformats.org/drawingml/2006/picture">
                <pic:pic>
                  <pic:nvPicPr>
                    <pic:cNvPr descr="Central dogma of molecular biology - Simple English Wikipedia, the free  encyclopedia"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34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101600</wp:posOffset>
                </wp:positionV>
                <wp:extent cx="2364105" cy="62865"/>
                <wp:effectExtent b="0" l="0" r="0" t="0"/>
                <wp:wrapNone/>
                <wp:docPr id="212272415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8710" y="3753330"/>
                          <a:ext cx="2354580" cy="5334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101600</wp:posOffset>
                </wp:positionV>
                <wp:extent cx="2364105" cy="62865"/>
                <wp:effectExtent b="0" l="0" r="0" t="0"/>
                <wp:wrapNone/>
                <wp:docPr id="212272415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4105" cy="62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A transzkripció végbemenetele alapján nevezzük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azt a szálat, amelyiken RNS szintetizálódik,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aktív szál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nak nevezzük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ez antiparalell és komplementer az RNS bázissorrendjével (kiv.: A-T; A-U)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azt a szálat, amelyiken RNS nem szintetizálódik,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passzív szál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nak nevezzük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144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ez megegyezik az RNS bázissorrendjével (U helyett T)</w:t>
      </w:r>
    </w:p>
    <w:p w:rsidR="00000000" w:rsidDel="00000000" w:rsidP="00000000" w:rsidRDefault="00000000" w:rsidRPr="00000000" w14:paraId="0000006E">
      <w:pPr>
        <w:spacing w:after="160" w:line="278.00000000000006" w:lineRule="auto"/>
        <w:jc w:val="left"/>
        <w:rPr/>
      </w:pPr>
      <w:r w:rsidDel="00000000" w:rsidR="00000000" w:rsidRPr="00000000">
        <w:rPr>
          <w:b w:val="1"/>
          <w:rtl w:val="0"/>
        </w:rPr>
        <w:t xml:space="preserve">Chargaff-szabály</w:t>
      </w:r>
      <w:r w:rsidDel="00000000" w:rsidR="00000000" w:rsidRPr="00000000">
        <w:rPr>
          <w:rtl w:val="0"/>
        </w:rPr>
        <w:t xml:space="preserve">: az A-k száma megegyezik a T-k számával, a G-k száma pedig a C-k számával a DNS-en belül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rPr/>
      </w:pPr>
      <w:r w:rsidDel="00000000" w:rsidR="00000000" w:rsidRPr="00000000">
        <w:rPr>
          <w:rtl w:val="0"/>
        </w:rPr>
        <w:t xml:space="preserve">A sejt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Sejt: a biológiai szerveződés funkcionális alapegysége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b w:val="1"/>
          <w:rtl w:val="0"/>
        </w:rPr>
        <w:t xml:space="preserve">Életjelenségei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anyagcsere</w:t>
      </w:r>
      <w:r w:rsidDel="00000000" w:rsidR="00000000" w:rsidRPr="00000000">
        <w:rPr>
          <w:rtl w:val="0"/>
        </w:rPr>
        <w:t xml:space="preserve"> (a külvilággal) </w:t>
      </w:r>
      <w:r w:rsidDel="00000000" w:rsidR="00000000" w:rsidRPr="00000000">
        <w:rPr>
          <w:b w:val="1"/>
          <w:rtl w:val="0"/>
        </w:rPr>
        <w:t xml:space="preserve">metabolizmus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katabolizmus</w:t>
      </w:r>
      <w:r w:rsidDel="00000000" w:rsidR="00000000" w:rsidRPr="00000000">
        <w:rPr>
          <w:rtl w:val="0"/>
        </w:rPr>
        <w:t xml:space="preserve">: anyaglebontás (energianyereséggel jár); </w:t>
      </w:r>
      <w:r w:rsidDel="00000000" w:rsidR="00000000" w:rsidRPr="00000000">
        <w:rPr>
          <w:b w:val="1"/>
          <w:rtl w:val="0"/>
        </w:rPr>
        <w:t xml:space="preserve">anabolizmus</w:t>
      </w:r>
      <w:r w:rsidDel="00000000" w:rsidR="00000000" w:rsidRPr="00000000">
        <w:rPr>
          <w:rtl w:val="0"/>
        </w:rPr>
        <w:t xml:space="preserve">: anyagfelépítés (energiát igényel)) </w:t>
      </w:r>
      <w:r w:rsidDel="00000000" w:rsidR="00000000" w:rsidRPr="00000000">
        <w:rPr>
          <w:b w:val="1"/>
          <w:rtl w:val="0"/>
        </w:rPr>
        <w:t xml:space="preserve">mozgás</w:t>
      </w:r>
      <w:r w:rsidDel="00000000" w:rsidR="00000000" w:rsidRPr="00000000">
        <w:rPr>
          <w:rtl w:val="0"/>
        </w:rPr>
        <w:t xml:space="preserve"> (csillóval, ostorral, állábakkal) </w:t>
      </w:r>
      <w:r w:rsidDel="00000000" w:rsidR="00000000" w:rsidRPr="00000000">
        <w:rPr>
          <w:b w:val="1"/>
          <w:rtl w:val="0"/>
        </w:rPr>
        <w:t xml:space="preserve">önreprodukció</w:t>
      </w:r>
      <w:r w:rsidDel="00000000" w:rsidR="00000000" w:rsidRPr="00000000">
        <w:rPr>
          <w:rtl w:val="0"/>
        </w:rPr>
        <w:t xml:space="preserve">s készség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A sejt életének vége: </w:t>
      </w:r>
      <w:r w:rsidDel="00000000" w:rsidR="00000000" w:rsidRPr="00000000">
        <w:rPr>
          <w:b w:val="1"/>
          <w:rtl w:val="0"/>
        </w:rPr>
        <w:t xml:space="preserve">osztódás</w:t>
      </w:r>
      <w:r w:rsidDel="00000000" w:rsidR="00000000" w:rsidRPr="00000000">
        <w:rPr>
          <w:rtl w:val="0"/>
        </w:rPr>
        <w:t xml:space="preserve"> vagy </w:t>
      </w:r>
      <w:r w:rsidDel="00000000" w:rsidR="00000000" w:rsidRPr="00000000">
        <w:rPr>
          <w:b w:val="1"/>
          <w:rtl w:val="0"/>
        </w:rPr>
        <w:t xml:space="preserve">sejthalál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A feltételezések szerint egy közös ősi sejt alakult ki, amiből az összes mai élőlény származik, ezt alátámasztja, hogy: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minden sejt kémiai összetétele elemi és molekuláris szinten nagyon hasonló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sejtek metabolizmusai nagyon hasonló elven működnek (glikolízis, fehérjeszintézis)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DNS, RNS univerzális kód, az információkifejeződés minden sejtben ugyanúgy zajlik le (transzkripció, transzláció)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sejtek osztódási folyamata is nagyon hasonló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A sejtek általános felépítése: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Sejtmembrán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elhatárolja a külvilágtól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Extracelluláris mátrix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sejtmembrán külső oldalán található térrész, a sejt hatással lehet rá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Sejtplazma, citoplazma, citoszol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sejten belüli tér, összetétele eltér a külvilágétól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Belső felépítés szerint megkülönböztetünk kétféle sejtet (karion=sejtmag):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Prokarióta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nincs belső membránnal elhatárolt sejtalkotója, a DNS-e gyűrűs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Eukarióta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van belső membránnal elhatárolt sejtalkotója, a DNS-e kromoszómákba rendeződött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Organellum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sejten belüli, membránnal elhatárolt sejtalkotó, összetétele különbözik a citoszol összetételétől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144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Lumen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egy sejtorganellum belső tere</w:t>
      </w:r>
    </w:p>
    <w:p w:rsidR="00000000" w:rsidDel="00000000" w:rsidP="00000000" w:rsidRDefault="00000000" w:rsidRPr="00000000" w14:paraId="00000081">
      <w:pPr>
        <w:pStyle w:val="Heading2"/>
        <w:rPr/>
      </w:pPr>
      <w:r w:rsidDel="00000000" w:rsidR="00000000" w:rsidRPr="00000000">
        <w:rPr>
          <w:rtl w:val="0"/>
        </w:rPr>
        <w:t xml:space="preserve">Az eukarióta sejt felépítése mint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mikroszkopikus vegyi gyár: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b w:val="1"/>
          <w:rtl w:val="0"/>
        </w:rPr>
        <w:t xml:space="preserve">Sejtmembrán</w:t>
      </w:r>
      <w:r w:rsidDel="00000000" w:rsidR="00000000" w:rsidRPr="00000000">
        <w:rPr>
          <w:rtl w:val="0"/>
        </w:rPr>
        <w:t xml:space="preserve">: kerítés, nem járhat akármi ki-be, de vannak kapui (transzportfehérjék) a szállítmányok (táplálék, katabolizmusok termékei) számára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b w:val="1"/>
          <w:rtl w:val="0"/>
        </w:rPr>
        <w:t xml:space="preserve">Citoszol</w:t>
      </w:r>
      <w:r w:rsidDel="00000000" w:rsidR="00000000" w:rsidRPr="00000000">
        <w:rPr>
          <w:rtl w:val="0"/>
        </w:rPr>
        <w:t xml:space="preserve">: gyárudvar, ebben helyezkedik el az összes gyárépület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b w:val="1"/>
          <w:rtl w:val="0"/>
        </w:rPr>
        <w:t xml:space="preserve">Citoszkeleton (sejtváz)</w:t>
      </w:r>
      <w:r w:rsidDel="00000000" w:rsidR="00000000" w:rsidRPr="00000000">
        <w:rPr>
          <w:rtl w:val="0"/>
        </w:rPr>
        <w:t xml:space="preserve">: megadja a gyár formáját, szállítóútvonalként működik a gyárépületek között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b w:val="1"/>
          <w:rtl w:val="0"/>
        </w:rPr>
        <w:t xml:space="preserve">Sejtmag (nukleusz)</w:t>
      </w:r>
      <w:r w:rsidDel="00000000" w:rsidR="00000000" w:rsidRPr="00000000">
        <w:rPr>
          <w:rtl w:val="0"/>
        </w:rPr>
        <w:t xml:space="preserve">: irányítóközpont, a gyártási folyamatok tárolója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b w:val="1"/>
          <w:rtl w:val="0"/>
        </w:rPr>
        <w:t xml:space="preserve">Mitokondrium</w:t>
      </w:r>
      <w:r w:rsidDel="00000000" w:rsidR="00000000" w:rsidRPr="00000000">
        <w:rPr>
          <w:rtl w:val="0"/>
        </w:rPr>
        <w:t xml:space="preserve">: hő- és energiaközpont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b w:val="1"/>
          <w:rtl w:val="0"/>
        </w:rPr>
        <w:t xml:space="preserve">Kloroplasztisz</w:t>
      </w:r>
      <w:r w:rsidDel="00000000" w:rsidR="00000000" w:rsidRPr="00000000">
        <w:rPr>
          <w:rtl w:val="0"/>
        </w:rPr>
        <w:t xml:space="preserve">: üzemanyaggyár és -raktár az energiaközponthoz és alapanyaggyár a gyártósorhoz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b w:val="1"/>
          <w:rtl w:val="0"/>
        </w:rPr>
        <w:t xml:space="preserve">Endoszóma</w:t>
      </w:r>
      <w:r w:rsidDel="00000000" w:rsidR="00000000" w:rsidRPr="00000000">
        <w:rPr>
          <w:rtl w:val="0"/>
        </w:rPr>
        <w:t xml:space="preserve">: bejövő üzenetek, szállítmányok szortírozása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b w:val="1"/>
          <w:rtl w:val="0"/>
        </w:rPr>
        <w:t xml:space="preserve">Endoplazmatikus Retikulum (ER)</w:t>
      </w:r>
      <w:r w:rsidDel="00000000" w:rsidR="00000000" w:rsidRPr="00000000">
        <w:rPr>
          <w:rtl w:val="0"/>
        </w:rPr>
        <w:t xml:space="preserve">: nyersanyagfeldolgozó központ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b w:val="1"/>
          <w:rtl w:val="0"/>
        </w:rPr>
        <w:t xml:space="preserve">Golgi-készülék</w:t>
      </w:r>
      <w:r w:rsidDel="00000000" w:rsidR="00000000" w:rsidRPr="00000000">
        <w:rPr>
          <w:rtl w:val="0"/>
        </w:rPr>
        <w:t xml:space="preserve">: küldemények csomagolása, címkézése, szortírozása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b w:val="1"/>
          <w:rtl w:val="0"/>
        </w:rPr>
        <w:t xml:space="preserve">Lizoszóma</w:t>
      </w:r>
      <w:r w:rsidDel="00000000" w:rsidR="00000000" w:rsidRPr="00000000">
        <w:rPr>
          <w:rtl w:val="0"/>
        </w:rPr>
        <w:t xml:space="preserve">: hulladékbontóközpont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b w:val="1"/>
          <w:rtl w:val="0"/>
        </w:rPr>
        <w:t xml:space="preserve">Peroxiszóma</w:t>
      </w:r>
      <w:r w:rsidDel="00000000" w:rsidR="00000000" w:rsidRPr="00000000">
        <w:rPr>
          <w:rtl w:val="0"/>
        </w:rPr>
        <w:t xml:space="preserve">: méregtelenítő, fertőtlenítő központ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rPr/>
      </w:pPr>
      <w:sdt>
        <w:sdtPr>
          <w:tag w:val="goog_rdk_2"/>
        </w:sdtPr>
        <w:sdtContent>
          <w:commentRangeStart w:id="1"/>
        </w:sdtContent>
      </w:sdt>
      <w:r w:rsidDel="00000000" w:rsidR="00000000" w:rsidRPr="00000000">
        <w:rPr>
          <w:rtl w:val="0"/>
        </w:rPr>
        <w:t xml:space="preserve">A sejtben végbemenő folyamatok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10321</wp:posOffset>
            </wp:positionH>
            <wp:positionV relativeFrom="paragraph">
              <wp:posOffset>410609</wp:posOffset>
            </wp:positionV>
            <wp:extent cx="4937760" cy="6964680"/>
            <wp:effectExtent b="0" l="0" r="0" t="0"/>
            <wp:wrapSquare wrapText="bothSides" distB="0" distT="0" distL="114300" distR="114300"/>
            <wp:docPr descr="A képen szöveg, kézírás, papír, dokumentum látható&#10;&#10;Automatikusan generált leírás" id="2122724155" name="image12.png"/>
            <a:graphic>
              <a:graphicData uri="http://schemas.openxmlformats.org/drawingml/2006/picture">
                <pic:pic>
                  <pic:nvPicPr>
                    <pic:cNvPr descr="A képen szöveg, kézírás, papír, dokumentum látható&#10;&#10;Automatikusan generált leírás"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696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spacing w:after="160" w:line="278.00000000000006" w:lineRule="auto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6952615</wp:posOffset>
            </wp:positionV>
            <wp:extent cx="5760720" cy="1502410"/>
            <wp:effectExtent b="0" l="0" r="0" t="0"/>
            <wp:wrapSquare wrapText="bothSides" distB="0" distT="0" distL="114300" distR="114300"/>
            <wp:docPr descr="A képen szöveg, kézírás, sor, kézzel írott látható&#10;&#10;Automatikusan generált leírás" id="2122724153" name="image4.png"/>
            <a:graphic>
              <a:graphicData uri="http://schemas.openxmlformats.org/drawingml/2006/picture">
                <pic:pic>
                  <pic:nvPicPr>
                    <pic:cNvPr descr="A képen szöveg, kézírás, sor, kézzel írott látható&#10;&#10;Automatikusan generált leírás"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2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sectPr>
      <w:footerReference r:id="rId26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Csongor Deák" w:id="0" w:date="2025-01-21T16:31:49Z"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gtp?</w:t>
      </w:r>
    </w:p>
  </w:comment>
  <w:comment w:author="Dániel Szentirmai" w:id="1" w:date="2024-12-14T07:21:21Z"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képen, ahol a szavakhoz E van húzva, az azt jelenti, hogy nagy energiatartalmú anyagról beszélünk.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91" w15:done="0"/>
  <w15:commentEx w15:paraId="0000009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ungsuh"/>
  <w:font w:name="Arial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jc w:val="left"/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80" w:hanging="360"/>
      </w:pPr>
      <w:rPr/>
    </w:lvl>
    <w:lvl w:ilvl="1">
      <w:start w:val="1"/>
      <w:numFmt w:val="lowerLetter"/>
      <w:lvlText w:val="%2."/>
      <w:lvlJc w:val="left"/>
      <w:pPr>
        <w:ind w:left="1500" w:hanging="360"/>
      </w:pPr>
      <w:rPr/>
    </w:lvl>
    <w:lvl w:ilvl="2">
      <w:start w:val="1"/>
      <w:numFmt w:val="lowerRoman"/>
      <w:lvlText w:val="%3."/>
      <w:lvlJc w:val="right"/>
      <w:pPr>
        <w:ind w:left="2220" w:hanging="180"/>
      </w:pPr>
      <w:rPr/>
    </w:lvl>
    <w:lvl w:ilvl="3">
      <w:start w:val="1"/>
      <w:numFmt w:val="decimal"/>
      <w:lvlText w:val="%4."/>
      <w:lvlJc w:val="left"/>
      <w:pPr>
        <w:ind w:left="2940" w:hanging="360"/>
      </w:pPr>
      <w:rPr/>
    </w:lvl>
    <w:lvl w:ilvl="4">
      <w:start w:val="1"/>
      <w:numFmt w:val="lowerLetter"/>
      <w:lvlText w:val="%5."/>
      <w:lvlJc w:val="left"/>
      <w:pPr>
        <w:ind w:left="3660" w:hanging="360"/>
      </w:pPr>
      <w:rPr/>
    </w:lvl>
    <w:lvl w:ilvl="5">
      <w:start w:val="1"/>
      <w:numFmt w:val="lowerRoman"/>
      <w:lvlText w:val="%6."/>
      <w:lvlJc w:val="right"/>
      <w:pPr>
        <w:ind w:left="4380" w:hanging="180"/>
      </w:pPr>
      <w:rPr/>
    </w:lvl>
    <w:lvl w:ilvl="6">
      <w:start w:val="1"/>
      <w:numFmt w:val="decimal"/>
      <w:lvlText w:val="%7."/>
      <w:lvlJc w:val="left"/>
      <w:pPr>
        <w:ind w:left="5100" w:hanging="360"/>
      </w:pPr>
      <w:rPr/>
    </w:lvl>
    <w:lvl w:ilvl="7">
      <w:start w:val="1"/>
      <w:numFmt w:val="lowerLetter"/>
      <w:lvlText w:val="%8."/>
      <w:lvlJc w:val="left"/>
      <w:pPr>
        <w:ind w:left="5820" w:hanging="360"/>
      </w:pPr>
      <w:rPr/>
    </w:lvl>
    <w:lvl w:ilvl="8">
      <w:start w:val="1"/>
      <w:numFmt w:val="lowerRoman"/>
      <w:lvlText w:val="%9."/>
      <w:lvlJc w:val="right"/>
      <w:pPr>
        <w:ind w:left="654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4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78.00000000000006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36"/>
      <w:szCs w:val="36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160" w:line="278.00000000000006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832B72"/>
    <w:pPr>
      <w:spacing w:after="40" w:line="240" w:lineRule="auto"/>
      <w:jc w:val="both"/>
    </w:pPr>
    <w:rPr>
      <w:rFonts w:ascii="Times New Roman" w:hAnsi="Times New Roman"/>
    </w:rPr>
  </w:style>
  <w:style w:type="paragraph" w:styleId="Cmsor1">
    <w:name w:val="heading 1"/>
    <w:next w:val="Cmsor2"/>
    <w:link w:val="Cmsor1Char"/>
    <w:uiPriority w:val="9"/>
    <w:qFormat w:val="1"/>
    <w:rsid w:val="00C83ADB"/>
    <w:pPr>
      <w:keepNext w:val="1"/>
      <w:keepLines w:val="1"/>
      <w:spacing w:after="200" w:before="360"/>
      <w:outlineLvl w:val="0"/>
    </w:pPr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Cmsor2">
    <w:name w:val="heading 2"/>
    <w:basedOn w:val="Cmsor1"/>
    <w:next w:val="Norml"/>
    <w:link w:val="Cmsor2Char"/>
    <w:uiPriority w:val="9"/>
    <w:unhideWhenUsed w:val="1"/>
    <w:qFormat w:val="1"/>
    <w:rsid w:val="002444BE"/>
    <w:pPr>
      <w:spacing w:after="80" w:before="160"/>
      <w:outlineLvl w:val="1"/>
    </w:pPr>
    <w:rPr>
      <w:sz w:val="32"/>
      <w:szCs w:val="32"/>
      <w:u w:val="none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DC3641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DC3641"/>
    <w:pPr>
      <w:keepNext w:val="1"/>
      <w:keepLines w:val="1"/>
      <w:spacing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DC3641"/>
    <w:pPr>
      <w:keepNext w:val="1"/>
      <w:keepLines w:val="1"/>
      <w:spacing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DC3641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DC364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DC364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DC364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C83ADB"/>
    <w:rPr>
      <w:rFonts w:ascii="Times New Roman" w:hAnsi="Times New Roman" w:cstheme="majorBidi" w:eastAsiaTheme="majorEastAsia"/>
      <w:sz w:val="36"/>
      <w:szCs w:val="40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2444BE"/>
    <w:rPr>
      <w:rFonts w:ascii="Times New Roman" w:hAnsi="Times New Roman" w:cstheme="majorBidi" w:eastAsiaTheme="majorEastAsia"/>
      <w:sz w:val="32"/>
      <w:szCs w:val="32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DC364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DC364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DC3641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DC3641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DC3641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DC3641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DC3641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DC3641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DC364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DC3641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DC364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DC364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DC3641"/>
    <w:rPr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DC3641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DC3641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DC364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DC3641"/>
    <w:rPr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DC3641"/>
    <w:rPr>
      <w:b w:val="1"/>
      <w:bCs w:val="1"/>
      <w:smallCaps w:val="1"/>
      <w:color w:val="0f4761" w:themeColor="accent1" w:themeShade="0000BF"/>
      <w:spacing w:val="5"/>
    </w:rPr>
  </w:style>
  <w:style w:type="paragraph" w:styleId="Lbjegyzetszveg">
    <w:name w:val="footnote text"/>
    <w:basedOn w:val="Norml"/>
    <w:link w:val="LbjegyzetszvegChar"/>
    <w:uiPriority w:val="99"/>
    <w:semiHidden w:val="1"/>
    <w:unhideWhenUsed w:val="1"/>
    <w:rsid w:val="007B79A0"/>
    <w:pPr>
      <w:spacing w:after="0"/>
    </w:pPr>
    <w:rPr>
      <w:sz w:val="20"/>
      <w:szCs w:val="20"/>
    </w:rPr>
  </w:style>
  <w:style w:type="character" w:styleId="LbjegyzetszvegChar" w:customStyle="1">
    <w:name w:val="Lábjegyzetszöveg Char"/>
    <w:basedOn w:val="Bekezdsalapbettpusa"/>
    <w:link w:val="Lbjegyzetszveg"/>
    <w:uiPriority w:val="99"/>
    <w:semiHidden w:val="1"/>
    <w:rsid w:val="007B79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 w:val="1"/>
    <w:unhideWhenUsed w:val="1"/>
    <w:rsid w:val="007B79A0"/>
    <w:rPr>
      <w:vertAlign w:val="superscript"/>
    </w:rPr>
  </w:style>
  <w:style w:type="paragraph" w:styleId="kzpbioszcmsor1" w:customStyle="1">
    <w:name w:val="középbiosz címsor 1"/>
    <w:next w:val="kzpbioszcmsor2"/>
    <w:link w:val="kzpbioszcmsor1Char"/>
    <w:qFormat w:val="1"/>
    <w:rsid w:val="00675B12"/>
    <w:pPr>
      <w:spacing w:after="280" w:before="120"/>
    </w:pPr>
    <w:rPr>
      <w:rFonts w:ascii="Times New Roman" w:cs="Times New Roman" w:hAnsi="Times New Roman"/>
      <w:iCs w:val="1"/>
      <w:color w:val="00b050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675B12"/>
    <w:rPr>
      <w:rFonts w:ascii="Times New Roman" w:cs="Times New Roman" w:hAnsi="Times New Roman"/>
      <w:iCs w:val="1"/>
      <w:color w:val="00b050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675B12"/>
    <w:pPr>
      <w:spacing w:after="40" w:before="0"/>
    </w:pPr>
    <w:rPr>
      <w:sz w:val="24"/>
      <w:u w:val="none"/>
    </w:rPr>
  </w:style>
  <w:style w:type="character" w:styleId="kzpbiosznormlChar" w:customStyle="1">
    <w:name w:val="középbiosz normál Char"/>
    <w:basedOn w:val="kzpbioszcmsor1Char"/>
    <w:link w:val="kzpbiosznorml"/>
    <w:rsid w:val="00675B12"/>
    <w:rPr>
      <w:rFonts w:ascii="Times New Roman" w:cs="Times New Roman" w:hAnsi="Times New Roman"/>
      <w:iCs w:val="1"/>
      <w:color w:val="00b050"/>
      <w:sz w:val="36"/>
      <w:szCs w:val="28"/>
      <w:u w:val="single"/>
    </w:rPr>
  </w:style>
  <w:style w:type="paragraph" w:styleId="kzpbioszcmsor2" w:customStyle="1">
    <w:name w:val="középbiosz címsor 2"/>
    <w:basedOn w:val="kzpbioszcmsor1"/>
    <w:next w:val="kzpbiosznorml"/>
    <w:link w:val="kzpbioszcmsor2Char"/>
    <w:qFormat w:val="1"/>
    <w:rsid w:val="003E282A"/>
    <w:pPr>
      <w:spacing w:after="240"/>
    </w:pPr>
    <w:rPr>
      <w:sz w:val="32"/>
      <w:u w:val="none"/>
    </w:rPr>
  </w:style>
  <w:style w:type="character" w:styleId="kzpbioszcmsor2Char" w:customStyle="1">
    <w:name w:val="középbiosz címsor 2 Char"/>
    <w:basedOn w:val="kzpbiosznormlChar"/>
    <w:link w:val="kzpbioszcmsor2"/>
    <w:rsid w:val="003E282A"/>
    <w:rPr>
      <w:rFonts w:ascii="Times New Roman" w:cs="Times New Roman" w:hAnsi="Times New Roman"/>
      <w:iCs w:val="1"/>
      <w:color w:val="00b050"/>
      <w:sz w:val="32"/>
      <w:szCs w:val="28"/>
      <w:u w:val="single"/>
    </w:rPr>
  </w:style>
  <w:style w:type="character" w:styleId="Helyrzszveg">
    <w:name w:val="Placeholder Text"/>
    <w:basedOn w:val="Bekezdsalapbettpusa"/>
    <w:uiPriority w:val="99"/>
    <w:semiHidden w:val="1"/>
    <w:rsid w:val="00C02D09"/>
    <w:rPr>
      <w:color w:val="666666"/>
    </w:rPr>
  </w:style>
  <w:style w:type="table" w:styleId="Rcsostblzat">
    <w:name w:val="Table Grid"/>
    <w:basedOn w:val="Normltblzat"/>
    <w:uiPriority w:val="39"/>
    <w:rsid w:val="00C02D0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3.png"/><Relationship Id="rId21" Type="http://schemas.openxmlformats.org/officeDocument/2006/relationships/image" Target="media/image5.png"/><Relationship Id="rId24" Type="http://schemas.openxmlformats.org/officeDocument/2006/relationships/image" Target="media/image12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1.png"/><Relationship Id="rId26" Type="http://schemas.openxmlformats.org/officeDocument/2006/relationships/footer" Target="footer1.xml"/><Relationship Id="rId25" Type="http://schemas.openxmlformats.org/officeDocument/2006/relationships/image" Target="media/image4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11" Type="http://schemas.openxmlformats.org/officeDocument/2006/relationships/image" Target="media/image16.png"/><Relationship Id="rId10" Type="http://schemas.openxmlformats.org/officeDocument/2006/relationships/image" Target="media/image10.png"/><Relationship Id="rId13" Type="http://schemas.openxmlformats.org/officeDocument/2006/relationships/image" Target="media/image17.png"/><Relationship Id="rId12" Type="http://schemas.openxmlformats.org/officeDocument/2006/relationships/image" Target="media/image8.png"/><Relationship Id="rId15" Type="http://schemas.openxmlformats.org/officeDocument/2006/relationships/image" Target="media/image1.png"/><Relationship Id="rId14" Type="http://schemas.openxmlformats.org/officeDocument/2006/relationships/image" Target="media/image15.png"/><Relationship Id="rId17" Type="http://schemas.openxmlformats.org/officeDocument/2006/relationships/image" Target="media/image14.gif"/><Relationship Id="rId16" Type="http://schemas.openxmlformats.org/officeDocument/2006/relationships/image" Target="media/image13.png"/><Relationship Id="rId19" Type="http://schemas.openxmlformats.org/officeDocument/2006/relationships/image" Target="media/image2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NV3VEK7Sm9sDRKHqbVe+m7hgxQ==">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2024-11-15T13:44:00Z</dcterms:created>
  <dc:creator>Szentirmai Dániel</dc:creator>
</cp:coreProperties>
</file>